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84"/>
          <w:tab w:val="left" w:pos="1418"/>
        </w:tabs>
        <w:spacing w:line="360" w:lineRule="auto"/>
        <w:ind w:right="-17"/>
        <w:jc w:val="center"/>
        <w:rPr>
          <w:rFonts w:ascii="Times New Roman" w:hAnsi="Times New Roman" w:eastAsia="Times New Roman" w:cs="Times New Roman"/>
          <w:b/>
        </w:rPr>
      </w:pPr>
      <w:r>
        <w:drawing>
          <wp:anchor distT="0" distB="0" distL="114300" distR="114300" simplePos="0" relativeHeight="251659264" behindDoc="0" locked="0" layoutInCell="1" allowOverlap="1">
            <wp:simplePos x="0" y="0"/>
            <wp:positionH relativeFrom="column">
              <wp:posOffset>2493645</wp:posOffset>
            </wp:positionH>
            <wp:positionV relativeFrom="paragraph">
              <wp:posOffset>-174625</wp:posOffset>
            </wp:positionV>
            <wp:extent cx="771525" cy="819150"/>
            <wp:effectExtent l="0" t="0" r="0" b="0"/>
            <wp:wrapNone/>
            <wp:docPr id="10" name="image1.jpg" descr="images"/>
            <wp:cNvGraphicFramePr/>
            <a:graphic xmlns:a="http://schemas.openxmlformats.org/drawingml/2006/main">
              <a:graphicData uri="http://schemas.openxmlformats.org/drawingml/2006/picture">
                <pic:pic xmlns:pic="http://schemas.openxmlformats.org/drawingml/2006/picture">
                  <pic:nvPicPr>
                    <pic:cNvPr id="10" name="image1.jpg" descr="images"/>
                    <pic:cNvPicPr preferRelativeResize="0"/>
                  </pic:nvPicPr>
                  <pic:blipFill>
                    <a:blip r:embed="rId7"/>
                    <a:srcRect/>
                    <a:stretch>
                      <a:fillRect/>
                    </a:stretch>
                  </pic:blipFill>
                  <pic:spPr>
                    <a:xfrm>
                      <a:off x="0" y="0"/>
                      <a:ext cx="771525" cy="819150"/>
                    </a:xfrm>
                    <a:prstGeom prst="rect">
                      <a:avLst/>
                    </a:prstGeom>
                  </pic:spPr>
                </pic:pic>
              </a:graphicData>
            </a:graphic>
          </wp:anchor>
        </w:drawing>
      </w:r>
    </w:p>
    <w:p>
      <w:pPr>
        <w:pBdr>
          <w:top w:val="none" w:color="000000" w:sz="0" w:space="0"/>
          <w:left w:val="none" w:color="000000" w:sz="0" w:space="0"/>
          <w:bottom w:val="none" w:color="000000" w:sz="0" w:space="0"/>
          <w:right w:val="none" w:color="000000" w:sz="0" w:space="0"/>
          <w:between w:val="none" w:color="000000" w:sz="0" w:space="0"/>
        </w:pBdr>
        <w:jc w:val="center"/>
        <w:rPr>
          <w:rFonts w:ascii="Times New Roman" w:hAnsi="Times New Roman" w:eastAsia="Times New Roman" w:cs="Times New Roman"/>
          <w:b/>
          <w:color w:val="000000"/>
        </w:rPr>
      </w:pPr>
    </w:p>
    <w:p>
      <w:pPr>
        <w:pBdr>
          <w:top w:val="none" w:color="000000" w:sz="0" w:space="0"/>
          <w:left w:val="none" w:color="000000" w:sz="0" w:space="0"/>
          <w:bottom w:val="none" w:color="000000" w:sz="0" w:space="0"/>
          <w:right w:val="none" w:color="000000" w:sz="0" w:space="0"/>
          <w:between w:val="none" w:color="000000" w:sz="0" w:space="0"/>
        </w:pBdr>
        <w:jc w:val="center"/>
        <w:rPr>
          <w:rFonts w:ascii="Times New Roman" w:hAnsi="Times New Roman" w:eastAsia="Times New Roman" w:cs="Times New Roman"/>
          <w:b/>
        </w:rPr>
      </w:pPr>
    </w:p>
    <w:p>
      <w:pPr>
        <w:pBdr>
          <w:top w:val="none" w:color="000000" w:sz="0" w:space="0"/>
          <w:left w:val="none" w:color="000000" w:sz="0" w:space="0"/>
          <w:bottom w:val="none" w:color="000000" w:sz="0" w:space="0"/>
          <w:right w:val="none" w:color="000000" w:sz="0" w:space="0"/>
          <w:between w:val="none" w:color="000000" w:sz="0" w:space="0"/>
        </w:pBdr>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rtl w:val="0"/>
        </w:rPr>
        <w:br w:type="textWrapping"/>
      </w:r>
      <w:r>
        <w:rPr>
          <w:rFonts w:ascii="Times New Roman" w:hAnsi="Times New Roman" w:eastAsia="Times New Roman" w:cs="Times New Roman"/>
          <w:b/>
          <w:color w:val="000000"/>
          <w:sz w:val="24"/>
          <w:szCs w:val="24"/>
          <w:rtl w:val="0"/>
        </w:rPr>
        <w:t>MINISTÉRIO DA EDUCAÇÃO (MEC)</w:t>
      </w:r>
    </w:p>
    <w:p>
      <w:pPr>
        <w:pBdr>
          <w:top w:val="none" w:color="000000" w:sz="0" w:space="0"/>
          <w:left w:val="none" w:color="000000" w:sz="0" w:space="0"/>
          <w:bottom w:val="none" w:color="000000" w:sz="0" w:space="0"/>
          <w:right w:val="none" w:color="000000" w:sz="0" w:space="0"/>
          <w:between w:val="none" w:color="000000" w:sz="0" w:space="0"/>
        </w:pBdr>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tl w:val="0"/>
        </w:rPr>
        <w:t>UNIVERSIDADE FEDERAL DA PARAÍBA (UFPB)</w:t>
      </w:r>
    </w:p>
    <w:p>
      <w:pPr>
        <w:pBdr>
          <w:top w:val="none" w:color="000000" w:sz="0" w:space="0"/>
          <w:left w:val="none" w:color="000000" w:sz="0" w:space="0"/>
          <w:bottom w:val="none" w:color="000000" w:sz="0" w:space="0"/>
          <w:right w:val="none" w:color="000000" w:sz="0" w:space="0"/>
          <w:between w:val="none" w:color="000000" w:sz="0" w:space="0"/>
        </w:pBdr>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tl w:val="0"/>
        </w:rPr>
        <w:t>SUPERINTENDÊNCIA DE ORÇAMENTO E FINANÇAS (SOF)</w:t>
      </w:r>
    </w:p>
    <w:p>
      <w:pPr>
        <w:pBdr>
          <w:top w:val="none" w:color="000000" w:sz="0" w:space="0"/>
          <w:left w:val="none" w:color="000000" w:sz="0" w:space="0"/>
          <w:bottom w:val="none" w:color="000000" w:sz="0" w:space="0"/>
          <w:right w:val="none" w:color="000000" w:sz="0" w:space="0"/>
          <w:between w:val="none" w:color="000000" w:sz="0" w:space="0"/>
        </w:pBdr>
        <w:jc w:val="center"/>
        <w:rPr>
          <w:rFonts w:ascii="Times New Roman" w:hAnsi="Times New Roman" w:eastAsia="Times New Roman" w:cs="Times New Roman"/>
          <w:b/>
          <w:color w:val="000000"/>
          <w:sz w:val="24"/>
          <w:szCs w:val="24"/>
        </w:rPr>
      </w:pPr>
      <w:r>
        <w:rPr>
          <w:rFonts w:ascii="Times New Roman" w:hAnsi="Times New Roman" w:eastAsia="Times New Roman" w:cs="Times New Roman"/>
          <w:b/>
          <w:color w:val="000000"/>
          <w:sz w:val="24"/>
          <w:szCs w:val="24"/>
          <w:rtl w:val="0"/>
        </w:rPr>
        <w:t>CO</w:t>
      </w:r>
      <w:r>
        <w:rPr>
          <w:rFonts w:ascii="Times New Roman" w:hAnsi="Times New Roman" w:eastAsia="Times New Roman" w:cs="Times New Roman"/>
          <w:b/>
          <w:sz w:val="24"/>
          <w:szCs w:val="24"/>
          <w:rtl w:val="0"/>
        </w:rPr>
        <w:t>ORDENAÇÃO</w:t>
      </w:r>
      <w:r>
        <w:rPr>
          <w:rFonts w:ascii="Times New Roman" w:hAnsi="Times New Roman" w:eastAsia="Times New Roman" w:cs="Times New Roman"/>
          <w:b/>
          <w:color w:val="000000"/>
          <w:sz w:val="24"/>
          <w:szCs w:val="24"/>
          <w:rtl w:val="0"/>
        </w:rPr>
        <w:t xml:space="preserve"> DE LICITAÇÕES E CONTRATOS (CLC)</w:t>
      </w:r>
    </w:p>
    <w:p>
      <w:pPr>
        <w:tabs>
          <w:tab w:val="left" w:pos="1418"/>
        </w:tabs>
        <w:spacing w:line="360" w:lineRule="auto"/>
        <w:jc w:val="center"/>
        <w:rPr>
          <w:rFonts w:ascii="Times New Roman" w:hAnsi="Times New Roman" w:eastAsia="Times New Roman" w:cs="Times New Roman"/>
          <w:b/>
          <w:sz w:val="24"/>
          <w:szCs w:val="24"/>
        </w:rPr>
      </w:pPr>
    </w:p>
    <w:p>
      <w:pPr>
        <w:tabs>
          <w:tab w:val="left" w:pos="1418"/>
        </w:tabs>
        <w:spacing w:line="360" w:lineRule="auto"/>
        <w:jc w:val="center"/>
        <w:rPr>
          <w:rFonts w:ascii="Times New Roman" w:hAnsi="Times New Roman" w:eastAsia="Times New Roman" w:cs="Times New Roman"/>
          <w:b/>
          <w:sz w:val="24"/>
          <w:szCs w:val="24"/>
          <w:u w:val="single"/>
        </w:rPr>
      </w:pPr>
      <w:r>
        <w:rPr>
          <w:rFonts w:ascii="Times New Roman" w:hAnsi="Times New Roman" w:eastAsia="Times New Roman" w:cs="Times New Roman"/>
          <w:b/>
          <w:sz w:val="24"/>
          <w:szCs w:val="24"/>
          <w:u w:val="single"/>
          <w:rtl w:val="0"/>
        </w:rPr>
        <w:t xml:space="preserve">PREGÃO ELETRÔNICO UFPB/SOF/CLC </w:t>
      </w:r>
      <w:r>
        <w:rPr>
          <w:rFonts w:ascii="Times New Roman" w:hAnsi="Times New Roman" w:eastAsia="Times New Roman" w:cs="Times New Roman"/>
          <w:b/>
          <w:sz w:val="24"/>
          <w:szCs w:val="24"/>
          <w:highlight w:val="yellow"/>
          <w:u w:val="single"/>
          <w:rtl w:val="0"/>
        </w:rPr>
        <w:t>Nº 00</w:t>
      </w:r>
      <w:r>
        <w:rPr>
          <w:rFonts w:hint="default" w:ascii="Times New Roman" w:hAnsi="Times New Roman" w:eastAsia="Times New Roman" w:cs="Times New Roman"/>
          <w:b/>
          <w:sz w:val="24"/>
          <w:szCs w:val="24"/>
          <w:highlight w:val="yellow"/>
          <w:u w:val="single"/>
          <w:rtl w:val="0"/>
          <w:lang w:val="pt-BR"/>
        </w:rPr>
        <w:t>8</w:t>
      </w:r>
      <w:r>
        <w:rPr>
          <w:rFonts w:ascii="Times New Roman" w:hAnsi="Times New Roman" w:eastAsia="Times New Roman" w:cs="Times New Roman"/>
          <w:b/>
          <w:sz w:val="24"/>
          <w:szCs w:val="24"/>
          <w:highlight w:val="yellow"/>
          <w:u w:val="single"/>
          <w:rtl w:val="0"/>
        </w:rPr>
        <w:t>/2023</w:t>
      </w:r>
    </w:p>
    <w:p>
      <w:pPr>
        <w:tabs>
          <w:tab w:val="left" w:pos="1418"/>
        </w:tabs>
        <w:spacing w:line="360" w:lineRule="auto"/>
        <w:jc w:val="center"/>
        <w:rPr>
          <w:rFonts w:hint="default" w:ascii="Times New Roman" w:hAnsi="Times New Roman" w:eastAsia="Times New Roman" w:cs="Times New Roman"/>
          <w:b/>
          <w:sz w:val="24"/>
          <w:szCs w:val="24"/>
          <w:u w:val="single"/>
          <w:lang w:val="pt-BR"/>
        </w:rPr>
      </w:pPr>
      <w:bookmarkStart w:id="0" w:name="_heading=h.gjdgxs" w:colFirst="0" w:colLast="0"/>
      <w:bookmarkEnd w:id="0"/>
      <w:r>
        <w:rPr>
          <w:rFonts w:ascii="Times New Roman" w:hAnsi="Times New Roman" w:eastAsia="Times New Roman" w:cs="Times New Roman"/>
          <w:b/>
          <w:sz w:val="24"/>
          <w:szCs w:val="24"/>
          <w:u w:val="single"/>
          <w:rtl w:val="0"/>
        </w:rPr>
        <w:t>PROCESSO ADMINISTRATIVO Nº 23074.0</w:t>
      </w:r>
      <w:r>
        <w:rPr>
          <w:rFonts w:hint="default" w:ascii="Times New Roman" w:hAnsi="Times New Roman" w:eastAsia="Times New Roman" w:cs="Times New Roman"/>
          <w:b/>
          <w:sz w:val="24"/>
          <w:szCs w:val="24"/>
          <w:u w:val="single"/>
          <w:rtl w:val="0"/>
          <w:lang w:val="pt-BR"/>
        </w:rPr>
        <w:t>48146</w:t>
      </w:r>
      <w:r>
        <w:rPr>
          <w:rFonts w:ascii="Times New Roman" w:hAnsi="Times New Roman" w:eastAsia="Times New Roman" w:cs="Times New Roman"/>
          <w:b/>
          <w:sz w:val="24"/>
          <w:szCs w:val="24"/>
          <w:u w:val="single"/>
          <w:rtl w:val="0"/>
        </w:rPr>
        <w:t>/2023-1</w:t>
      </w:r>
      <w:r>
        <w:rPr>
          <w:rFonts w:hint="default" w:ascii="Times New Roman" w:hAnsi="Times New Roman" w:eastAsia="Times New Roman" w:cs="Times New Roman"/>
          <w:b/>
          <w:sz w:val="24"/>
          <w:szCs w:val="24"/>
          <w:u w:val="single"/>
          <w:rtl w:val="0"/>
          <w:lang w:val="pt-BR"/>
        </w:rPr>
        <w:t>6</w:t>
      </w:r>
    </w:p>
    <w:p>
      <w:pPr>
        <w:tabs>
          <w:tab w:val="left" w:pos="1418"/>
        </w:tabs>
        <w:spacing w:line="360" w:lineRule="auto"/>
        <w:jc w:val="center"/>
        <w:rPr>
          <w:rFonts w:ascii="Times New Roman" w:hAnsi="Times New Roman" w:eastAsia="Times New Roman" w:cs="Times New Roman"/>
          <w:b/>
          <w:sz w:val="24"/>
          <w:szCs w:val="24"/>
          <w:u w:val="single"/>
        </w:rPr>
      </w:pPr>
    </w:p>
    <w:p>
      <w:pPr>
        <w:tabs>
          <w:tab w:val="left" w:pos="1418"/>
        </w:tabs>
        <w:spacing w:line="360" w:lineRule="auto"/>
        <w:jc w:val="center"/>
        <w:rPr>
          <w:rFonts w:hint="default" w:ascii="Times New Roman" w:hAnsi="Times New Roman" w:eastAsia="Times New Roman" w:cs="Times New Roman"/>
          <w:b/>
          <w:sz w:val="24"/>
          <w:szCs w:val="24"/>
          <w:u w:val="single"/>
          <w:lang w:val="pt-BR"/>
        </w:rPr>
      </w:pPr>
      <w:r>
        <w:rPr>
          <w:rFonts w:ascii="Times New Roman" w:hAnsi="Times New Roman" w:eastAsia="Times New Roman" w:cs="Times New Roman"/>
          <w:b/>
          <w:sz w:val="24"/>
          <w:szCs w:val="24"/>
          <w:u w:val="single"/>
          <w:rtl w:val="0"/>
        </w:rPr>
        <w:t>ANEXO 0</w:t>
      </w:r>
      <w:r>
        <w:rPr>
          <w:rFonts w:hint="default" w:ascii="Times New Roman" w:hAnsi="Times New Roman" w:eastAsia="Times New Roman" w:cs="Times New Roman"/>
          <w:b/>
          <w:sz w:val="24"/>
          <w:szCs w:val="24"/>
          <w:u w:val="single"/>
          <w:rtl w:val="0"/>
          <w:lang w:val="pt-BR"/>
        </w:rPr>
        <w:t>8</w:t>
      </w:r>
    </w:p>
    <w:p>
      <w:pPr>
        <w:tabs>
          <w:tab w:val="left" w:pos="1418"/>
        </w:tabs>
        <w:spacing w:line="36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u w:val="single"/>
          <w:rtl w:val="0"/>
        </w:rPr>
        <w:t xml:space="preserve">ATA DE REGISTRO DE PREÇOS </w:t>
      </w:r>
      <w:r>
        <w:rPr>
          <w:rFonts w:ascii="Times New Roman" w:hAnsi="Times New Roman" w:eastAsia="Times New Roman" w:cs="Times New Roman"/>
          <w:b/>
          <w:sz w:val="24"/>
          <w:szCs w:val="24"/>
          <w:highlight w:val="yellow"/>
          <w:u w:val="single"/>
          <w:rtl w:val="0"/>
        </w:rPr>
        <w:t>(MINUTA)</w:t>
      </w:r>
    </w:p>
    <w:p>
      <w:pPr>
        <w:tabs>
          <w:tab w:val="left" w:pos="1418"/>
          <w:tab w:val="left" w:pos="3402"/>
        </w:tabs>
        <w:spacing w:line="360" w:lineRule="auto"/>
        <w:rPr>
          <w:rFonts w:ascii="Times New Roman" w:hAnsi="Times New Roman" w:eastAsia="Times New Roman" w:cs="Times New Roman"/>
          <w:sz w:val="24"/>
          <w:szCs w:val="24"/>
        </w:rPr>
      </w:pPr>
      <w:bookmarkStart w:id="22" w:name="_GoBack"/>
      <w:bookmarkEnd w:id="22"/>
    </w:p>
    <w:p>
      <w:pPr>
        <w:tabs>
          <w:tab w:val="left" w:pos="1418"/>
        </w:tabs>
        <w:spacing w:line="36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tl w:val="0"/>
        </w:rPr>
        <w:t>PREÂMBULO</w:t>
      </w:r>
    </w:p>
    <w:p>
      <w:pPr>
        <w:tabs>
          <w:tab w:val="left" w:pos="1418"/>
        </w:tabs>
        <w:spacing w:line="360" w:lineRule="auto"/>
        <w:jc w:val="both"/>
        <w:rPr>
          <w:rFonts w:ascii="Times New Roman" w:hAnsi="Times New Roman" w:eastAsia="Times New Roman" w:cs="Times New Roman"/>
          <w:sz w:val="24"/>
          <w:szCs w:val="24"/>
        </w:rPr>
      </w:pP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color w:val="000000"/>
          <w:sz w:val="24"/>
          <w:szCs w:val="24"/>
        </w:rPr>
      </w:pPr>
      <w:bookmarkStart w:id="1" w:name="_heading=h.pw0385kxkowp" w:colFirst="0" w:colLast="0"/>
      <w:bookmarkEnd w:id="1"/>
      <w:r>
        <w:rPr>
          <w:rFonts w:ascii="Times New Roman" w:hAnsi="Times New Roman" w:eastAsia="Times New Roman" w:cs="Times New Roman"/>
          <w:sz w:val="24"/>
          <w:szCs w:val="24"/>
          <w:rtl w:val="0"/>
        </w:rPr>
        <w:t>A Universidade Federal da Paraíba (UFPB), com sede no(a) ......, na cidade de ........, inscrito(a) no CNPJ/MF sob o nº ....., neste ato representado(a) pelo(a) ...... (</w:t>
      </w:r>
      <w:r>
        <w:rPr>
          <w:rFonts w:ascii="Times New Roman" w:hAnsi="Times New Roman" w:eastAsia="Times New Roman" w:cs="Times New Roman"/>
          <w:i/>
          <w:sz w:val="24"/>
          <w:szCs w:val="24"/>
          <w:rtl w:val="0"/>
        </w:rPr>
        <w:t>cargo e nome</w:t>
      </w:r>
      <w:r>
        <w:rPr>
          <w:rFonts w:ascii="Times New Roman" w:hAnsi="Times New Roman" w:eastAsia="Times New Roman" w:cs="Times New Roman"/>
          <w:sz w:val="24"/>
          <w:szCs w:val="24"/>
          <w:rtl w:val="0"/>
        </w:rPr>
        <w:t xml:space="preserve">), nomeado(a) pela  Portaria nº ...... de ..... de ...... de 202..., publicada no ....... de ..... de ....... de ....., portador da matrícula funcional nº ...................,, considerando o julgamento da licitação na modalidade de pregão, na forma eletrônica, para REGISTRO DE PREÇOS nº ......./202..., publicada no ...... de ...../...../202....., processo administrativo n.º ........, RESOLVE registrar os preços da(s) empresa(s) indicada(s) e qualificada(s) nesta ATA, de acordo com a classificação por ela(s) alcançada(s) e na(s) quantidade(s) cotada(s), atendendo as condições previstas no </w:t>
      </w:r>
      <w:r>
        <w:rPr>
          <w:rFonts w:ascii="Times New Roman" w:hAnsi="Times New Roman" w:eastAsia="Times New Roman" w:cs="Times New Roman"/>
          <w:i/>
          <w:sz w:val="24"/>
          <w:szCs w:val="24"/>
          <w:rtl w:val="0"/>
        </w:rPr>
        <w:t>Edital de licitação ou aviso de contratação direta</w:t>
      </w:r>
      <w:r>
        <w:rPr>
          <w:rFonts w:ascii="Times New Roman" w:hAnsi="Times New Roman" w:eastAsia="Times New Roman" w:cs="Times New Roman"/>
          <w:sz w:val="24"/>
          <w:szCs w:val="24"/>
          <w:rtl w:val="0"/>
        </w:rPr>
        <w:t>, sujeitando-se as partes às normas constantes na Lei nº 14.133, de 1º de abril de 2021, no Decreto nº 11.462, de 31 de março de 2023, e em conformidade com as disposições a seguir:</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color w:val="000000"/>
          <w:sz w:val="24"/>
          <w:szCs w:val="24"/>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i w:val="0"/>
          <w:smallCaps w:val="0"/>
          <w:strike w:val="0"/>
          <w:color w:val="000000"/>
          <w:sz w:val="24"/>
          <w:szCs w:val="24"/>
          <w:u w:val="none"/>
          <w:shd w:val="clear" w:fill="auto"/>
          <w:vertAlign w:val="baseline"/>
          <w:rtl w:val="0"/>
        </w:rPr>
        <w:t>DO OBJETO</w:t>
      </w:r>
    </w:p>
    <w:p>
      <w:pPr>
        <w:tabs>
          <w:tab w:val="left" w:pos="1418"/>
        </w:tabs>
        <w:spacing w:line="360" w:lineRule="auto"/>
        <w:jc w:val="both"/>
        <w:rPr>
          <w:rFonts w:ascii="Times New Roman" w:hAnsi="Times New Roman" w:eastAsia="Times New Roman" w:cs="Times New Roman"/>
          <w:sz w:val="24"/>
          <w:szCs w:val="24"/>
        </w:rPr>
      </w:pPr>
    </w:p>
    <w:p>
      <w:pPr>
        <w:keepNext w:val="0"/>
        <w:keepLines w:val="0"/>
        <w:pageBreakBefore w:val="0"/>
        <w:widowControl/>
        <w:numPr>
          <w:ilvl w:val="1"/>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 w:val="left" w:pos="1701"/>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bookmarkStart w:id="2" w:name="_heading=h.30j0zll" w:colFirst="0" w:colLast="0"/>
      <w:bookmarkEnd w:id="2"/>
      <w:r>
        <w:rPr>
          <w:rFonts w:ascii="Times New Roman" w:hAnsi="Times New Roman" w:eastAsia="Times New Roman" w:cs="Times New Roman"/>
          <w:b w:val="0"/>
          <w:i w:val="0"/>
          <w:smallCaps w:val="0"/>
          <w:strike w:val="0"/>
          <w:color w:val="000000"/>
          <w:sz w:val="24"/>
          <w:szCs w:val="24"/>
          <w:u w:val="none"/>
          <w:shd w:val="clear" w:fill="auto"/>
          <w:vertAlign w:val="baseline"/>
          <w:rtl w:val="0"/>
        </w:rPr>
        <w:t xml:space="preserve">A presente Ata tem por objeto o registro de preços para a eventual contratação de ........ , especificado(s) no(s) item(ns)/grupo(s).......... do .......... Termo de Referência, Anexo XX do </w:t>
      </w:r>
      <w:r>
        <w:rPr>
          <w:rFonts w:ascii="Times New Roman" w:hAnsi="Times New Roman" w:eastAsia="Times New Roman" w:cs="Times New Roman"/>
          <w:b w:val="0"/>
          <w:i/>
          <w:smallCaps w:val="0"/>
          <w:strike w:val="0"/>
          <w:color w:val="000000"/>
          <w:sz w:val="24"/>
          <w:szCs w:val="24"/>
          <w:u w:val="none"/>
          <w:shd w:val="clear" w:fill="auto"/>
          <w:vertAlign w:val="baseline"/>
          <w:rtl w:val="0"/>
        </w:rPr>
        <w:t xml:space="preserve">Edital de Licitação nº ........../20... </w:t>
      </w:r>
      <w:r>
        <w:rPr>
          <w:rFonts w:ascii="Times New Roman" w:hAnsi="Times New Roman" w:eastAsia="Times New Roman" w:cs="Times New Roman"/>
          <w:b w:val="0"/>
          <w:i w:val="0"/>
          <w:smallCaps w:val="0"/>
          <w:strike w:val="0"/>
          <w:color w:val="000000"/>
          <w:sz w:val="24"/>
          <w:szCs w:val="24"/>
          <w:u w:val="none"/>
          <w:shd w:val="clear" w:fill="auto"/>
          <w:vertAlign w:val="baseline"/>
          <w:rtl w:val="0"/>
        </w:rPr>
        <w:t>, que é parte integrante desta Ata, assim como as propostas cujos preços tenham sido registrados, independentemente de transcrição.</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b/>
          <w:color w:val="000000"/>
          <w:sz w:val="24"/>
          <w:szCs w:val="24"/>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r>
        <w:rPr>
          <w:rFonts w:ascii="Times New Roman" w:hAnsi="Times New Roman" w:eastAsia="Times New Roman" w:cs="Times New Roman"/>
          <w:b/>
          <w:i w:val="0"/>
          <w:smallCaps w:val="0"/>
          <w:strike w:val="0"/>
          <w:color w:val="000000"/>
          <w:sz w:val="24"/>
          <w:szCs w:val="24"/>
          <w:u w:val="none"/>
          <w:shd w:val="clear" w:fill="auto"/>
          <w:vertAlign w:val="baseline"/>
          <w:rtl w:val="0"/>
        </w:rPr>
        <w:t>DOS PREÇOS, ESPECIFICAÇÕES E QUANTITATIVOS</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color w:val="000000"/>
          <w:sz w:val="24"/>
          <w:szCs w:val="24"/>
        </w:rPr>
      </w:pP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2.1</w:t>
      </w:r>
      <w:r>
        <w:rPr>
          <w:rFonts w:ascii="Times New Roman" w:hAnsi="Times New Roman" w:eastAsia="Times New Roman" w:cs="Times New Roman"/>
          <w:sz w:val="24"/>
          <w:szCs w:val="24"/>
          <w:rtl w:val="0"/>
        </w:rPr>
        <w:tab/>
      </w:r>
      <w:r>
        <w:rPr>
          <w:rFonts w:ascii="Times New Roman" w:hAnsi="Times New Roman" w:eastAsia="Times New Roman" w:cs="Times New Roman"/>
          <w:sz w:val="24"/>
          <w:szCs w:val="24"/>
          <w:rtl w:val="0"/>
        </w:rPr>
        <w:t>O preço registrado, as especificações do objeto, as quantidades mínimas e máximas de cada item, fornecedor(es) e as demais condições ofertadas na(s) proposta(s) são as que seguem:</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sz w:val="24"/>
          <w:szCs w:val="24"/>
        </w:rPr>
      </w:pPr>
    </w:p>
    <w:tbl>
      <w:tblPr>
        <w:tblStyle w:val="75"/>
        <w:tblW w:w="8918" w:type="dxa"/>
        <w:tblInd w:w="10" w:type="dxa"/>
        <w:tblLayout w:type="fixed"/>
        <w:tblCellMar>
          <w:top w:w="0" w:type="dxa"/>
          <w:left w:w="10" w:type="dxa"/>
          <w:bottom w:w="0" w:type="dxa"/>
          <w:right w:w="10" w:type="dxa"/>
        </w:tblCellMar>
      </w:tblPr>
      <w:tblGrid>
        <w:gridCol w:w="497"/>
        <w:gridCol w:w="1191"/>
        <w:gridCol w:w="1134"/>
        <w:gridCol w:w="1276"/>
        <w:gridCol w:w="851"/>
        <w:gridCol w:w="992"/>
        <w:gridCol w:w="992"/>
        <w:gridCol w:w="851"/>
        <w:gridCol w:w="1134"/>
      </w:tblGrid>
      <w:tr>
        <w:tblPrEx>
          <w:tblCellMar>
            <w:top w:w="0" w:type="dxa"/>
            <w:left w:w="10" w:type="dxa"/>
            <w:bottom w:w="0" w:type="dxa"/>
            <w:right w:w="10" w:type="dxa"/>
          </w:tblCellMar>
        </w:tblPrEx>
        <w:trPr>
          <w:trHeight w:val="511" w:hRule="atLeast"/>
        </w:trPr>
        <w:tc>
          <w:tcPr>
            <w:tcBorders>
              <w:top w:val="single" w:color="000000" w:sz="4" w:space="0"/>
              <w:left w:val="single" w:color="000000" w:sz="4" w:space="0"/>
              <w:bottom w:val="single" w:color="000000" w:sz="4" w:space="0"/>
              <w:right w:val="single" w:color="000000" w:sz="4" w:space="0"/>
            </w:tcBorders>
            <w:vAlign w:val="center"/>
          </w:tcPr>
          <w:p>
            <w:pPr>
              <w:widowControl w:val="0"/>
              <w:spacing w:line="360" w:lineRule="auto"/>
              <w:ind w:right="-30"/>
              <w:jc w:val="center"/>
              <w:rPr>
                <w:rFonts w:ascii="Times New Roman" w:hAnsi="Times New Roman" w:eastAsia="Times New Roman" w:cs="Times New Roman"/>
                <w:b/>
              </w:rPr>
            </w:pPr>
            <w:r>
              <w:rPr>
                <w:rFonts w:ascii="Times New Roman" w:hAnsi="Times New Roman" w:eastAsia="Times New Roman" w:cs="Times New Roman"/>
                <w:b/>
                <w:rtl w:val="0"/>
              </w:rPr>
              <w:t>Item</w:t>
            </w:r>
          </w:p>
          <w:p>
            <w:pPr>
              <w:widowControl w:val="0"/>
              <w:spacing w:line="360" w:lineRule="auto"/>
              <w:ind w:right="-30"/>
              <w:jc w:val="center"/>
              <w:rPr>
                <w:rFonts w:ascii="Times New Roman" w:hAnsi="Times New Roman" w:eastAsia="Times New Roman" w:cs="Times New Roman"/>
                <w:b/>
              </w:rPr>
            </w:pPr>
            <w:r>
              <w:rPr>
                <w:rFonts w:ascii="Times New Roman" w:hAnsi="Times New Roman" w:eastAsia="Times New Roman" w:cs="Times New Roman"/>
                <w:b/>
                <w:rtl w:val="0"/>
              </w:rPr>
              <w:t>do</w:t>
            </w:r>
          </w:p>
          <w:p>
            <w:pPr>
              <w:widowControl w:val="0"/>
              <w:spacing w:line="360" w:lineRule="auto"/>
              <w:ind w:right="-30"/>
              <w:jc w:val="center"/>
              <w:rPr>
                <w:rFonts w:ascii="Times New Roman" w:hAnsi="Times New Roman" w:eastAsia="Times New Roman" w:cs="Times New Roman"/>
                <w:b/>
              </w:rPr>
            </w:pPr>
            <w:r>
              <w:rPr>
                <w:rFonts w:ascii="Times New Roman" w:hAnsi="Times New Roman" w:eastAsia="Times New Roman" w:cs="Times New Roman"/>
                <w:b/>
                <w:rtl w:val="0"/>
              </w:rPr>
              <w:t>TR</w:t>
            </w:r>
          </w:p>
        </w:tc>
        <w:tc>
          <w:tcPr>
            <w:gridSpan w:val="8"/>
            <w:tcBorders>
              <w:top w:val="single" w:color="000000" w:sz="4" w:space="0"/>
              <w:left w:val="single" w:color="000000" w:sz="4" w:space="0"/>
              <w:bottom w:val="single" w:color="000000" w:sz="4" w:space="0"/>
              <w:right w:val="single" w:color="000000" w:sz="4" w:space="0"/>
            </w:tcBorders>
          </w:tcPr>
          <w:p>
            <w:pPr>
              <w:widowControl w:val="0"/>
              <w:spacing w:line="360" w:lineRule="auto"/>
              <w:ind w:right="-30"/>
              <w:jc w:val="center"/>
              <w:rPr>
                <w:rFonts w:ascii="Times New Roman" w:hAnsi="Times New Roman" w:eastAsia="Times New Roman" w:cs="Times New Roman"/>
                <w:b/>
                <w:i/>
              </w:rPr>
            </w:pPr>
            <w:r>
              <w:rPr>
                <w:rFonts w:ascii="Times New Roman" w:hAnsi="Times New Roman" w:eastAsia="Times New Roman" w:cs="Times New Roman"/>
                <w:b/>
                <w:rtl w:val="0"/>
              </w:rPr>
              <w:t xml:space="preserve">Fornecedor </w:t>
            </w:r>
            <w:r>
              <w:rPr>
                <w:rFonts w:ascii="Times New Roman" w:hAnsi="Times New Roman" w:eastAsia="Times New Roman" w:cs="Times New Roman"/>
                <w:b/>
                <w:i/>
                <w:rtl w:val="0"/>
              </w:rPr>
              <w:t>(razão social, CNPJ/MF, endereço, contatos, representante)</w:t>
            </w:r>
          </w:p>
          <w:p>
            <w:pPr>
              <w:widowControl w:val="0"/>
              <w:spacing w:line="360" w:lineRule="auto"/>
              <w:ind w:right="-30"/>
              <w:jc w:val="center"/>
              <w:rPr>
                <w:rFonts w:ascii="Times New Roman" w:hAnsi="Times New Roman" w:eastAsia="Times New Roman" w:cs="Times New Roman"/>
                <w:b/>
              </w:rPr>
            </w:pPr>
          </w:p>
        </w:tc>
      </w:tr>
      <w:tr>
        <w:tblPrEx>
          <w:tblCellMar>
            <w:top w:w="0" w:type="dxa"/>
            <w:left w:w="10" w:type="dxa"/>
            <w:bottom w:w="0" w:type="dxa"/>
            <w:right w:w="10" w:type="dxa"/>
          </w:tblCellMar>
        </w:tblPrEx>
        <w:trPr>
          <w:trHeight w:val="674" w:hRule="atLeast"/>
        </w:trPr>
        <w:tc>
          <w:tcPr>
            <w:tcBorders>
              <w:top w:val="nil"/>
              <w:left w:val="single" w:color="000000" w:sz="4" w:space="0"/>
              <w:bottom w:val="single" w:color="000000" w:sz="4" w:space="0"/>
              <w:right w:val="nil"/>
            </w:tcBorders>
            <w:vAlign w:val="center"/>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X</w:t>
            </w: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r>
              <w:rPr>
                <w:rFonts w:ascii="Times New Roman" w:hAnsi="Times New Roman" w:eastAsia="Times New Roman" w:cs="Times New Roman"/>
                <w:rtl w:val="0"/>
              </w:rPr>
              <w:t>Especificação</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 xml:space="preserve">Marca </w:t>
            </w:r>
          </w:p>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(se exigida no edital)</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Modelo</w:t>
            </w:r>
          </w:p>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(se exigido no edital)</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Unidade</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Quantidade Máxima</w:t>
            </w:r>
          </w:p>
        </w:tc>
        <w:tc>
          <w:tcPr>
            <w:tcBorders>
              <w:top w:val="nil"/>
              <w:left w:val="single" w:color="000000" w:sz="4" w:space="0"/>
              <w:bottom w:val="single" w:color="000000" w:sz="4" w:space="0"/>
              <w:right w:val="single" w:color="000000" w:sz="4" w:space="0"/>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Quantidade Mínima</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Valor Unitário</w:t>
            </w:r>
          </w:p>
        </w:tc>
        <w:tc>
          <w:tcPr>
            <w:tcBorders>
              <w:top w:val="nil"/>
              <w:left w:val="single" w:color="000000" w:sz="4" w:space="0"/>
              <w:bottom w:val="single" w:color="000000" w:sz="4" w:space="0"/>
              <w:right w:val="single" w:color="000000" w:sz="4" w:space="0"/>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Prazo garantia ou validade</w:t>
            </w:r>
          </w:p>
        </w:tc>
      </w:tr>
      <w:tr>
        <w:tblPrEx>
          <w:tblCellMar>
            <w:top w:w="0" w:type="dxa"/>
            <w:left w:w="10" w:type="dxa"/>
            <w:bottom w:w="0" w:type="dxa"/>
            <w:right w:w="10" w:type="dxa"/>
          </w:tblCellMar>
        </w:tblPrEx>
        <w:trPr>
          <w:trHeight w:val="174" w:hRule="atLeast"/>
        </w:trPr>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single" w:color="000000" w:sz="4" w:space="0"/>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single" w:color="000000" w:sz="4" w:space="0"/>
            </w:tcBorders>
          </w:tcPr>
          <w:p>
            <w:pPr>
              <w:widowControl w:val="0"/>
              <w:spacing w:line="360" w:lineRule="auto"/>
              <w:ind w:right="-30"/>
              <w:jc w:val="both"/>
              <w:rPr>
                <w:rFonts w:ascii="Times New Roman" w:hAnsi="Times New Roman" w:eastAsia="Times New Roman" w:cs="Times New Roman"/>
              </w:rPr>
            </w:pPr>
          </w:p>
        </w:tc>
      </w:tr>
    </w:tbl>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color w:val="000000"/>
          <w:sz w:val="24"/>
          <w:szCs w:val="24"/>
        </w:rPr>
      </w:pP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2.2</w:t>
      </w:r>
      <w:r>
        <w:rPr>
          <w:rFonts w:ascii="Times New Roman" w:hAnsi="Times New Roman" w:eastAsia="Times New Roman" w:cs="Times New Roman"/>
          <w:sz w:val="24"/>
          <w:szCs w:val="24"/>
          <w:rtl w:val="0"/>
        </w:rPr>
        <w:tab/>
      </w:r>
      <w:r>
        <w:rPr>
          <w:rFonts w:ascii="Times New Roman" w:hAnsi="Times New Roman" w:eastAsia="Times New Roman" w:cs="Times New Roman"/>
          <w:sz w:val="24"/>
          <w:szCs w:val="24"/>
          <w:rtl w:val="0"/>
        </w:rPr>
        <w:t>A listagem do cadastro de reserva referente ao presente registro de preços consta como anexo a esta Ata.</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color w:val="000000"/>
          <w:sz w:val="24"/>
          <w:szCs w:val="24"/>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bookmarkStart w:id="3" w:name="_heading=h.71rk59jv6gc6" w:colFirst="0" w:colLast="0"/>
      <w:bookmarkEnd w:id="3"/>
      <w:r>
        <w:rPr>
          <w:rFonts w:ascii="Times New Roman" w:hAnsi="Times New Roman" w:eastAsia="Times New Roman" w:cs="Times New Roman"/>
          <w:b/>
          <w:i w:val="0"/>
          <w:smallCaps w:val="0"/>
          <w:strike w:val="0"/>
          <w:color w:val="000000"/>
          <w:sz w:val="24"/>
          <w:szCs w:val="24"/>
          <w:u w:val="none"/>
          <w:shd w:val="clear" w:fill="auto"/>
          <w:vertAlign w:val="baseline"/>
          <w:rtl w:val="0"/>
        </w:rPr>
        <w:t>ÓRGÃO(S) GERENCIADOR(ES) E PARTICIPANTE(S)</w:t>
      </w:r>
    </w:p>
    <w:p>
      <w:pPr>
        <w:tabs>
          <w:tab w:val="left" w:pos="1418"/>
        </w:tabs>
        <w:spacing w:line="360" w:lineRule="auto"/>
        <w:jc w:val="both"/>
        <w:rPr>
          <w:rFonts w:ascii="Times New Roman" w:hAnsi="Times New Roman" w:eastAsia="Times New Roman" w:cs="Times New Roman"/>
          <w:sz w:val="24"/>
          <w:szCs w:val="24"/>
        </w:rPr>
      </w:pPr>
    </w:p>
    <w:p>
      <w:pPr>
        <w:keepNext w:val="0"/>
        <w:keepLines w:val="0"/>
        <w:pageBreakBefore w:val="0"/>
        <w:widowControl/>
        <w:numPr>
          <w:ilvl w:val="1"/>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 w:val="left" w:pos="1701"/>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O Órgão Gerenciador é a Universidade Federal da Paraíba (UFPB).</w:t>
      </w:r>
    </w:p>
    <w:p>
      <w:pPr>
        <w:keepNext w:val="0"/>
        <w:keepLines w:val="0"/>
        <w:pageBreakBefore w:val="0"/>
        <w:widowControl/>
        <w:numPr>
          <w:ilvl w:val="1"/>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 w:val="left" w:pos="1701"/>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Além do gerenciador, não há</w:t>
      </w:r>
      <w:r>
        <w:rPr>
          <w:rFonts w:ascii="Times New Roman" w:hAnsi="Times New Roman" w:eastAsia="Times New Roman" w:cs="Times New Roman"/>
          <w:sz w:val="24"/>
          <w:szCs w:val="24"/>
          <w:rtl w:val="0"/>
        </w:rPr>
        <w:t xml:space="preserve"> </w:t>
      </w:r>
      <w:r>
        <w:rPr>
          <w:rFonts w:ascii="Times New Roman" w:hAnsi="Times New Roman" w:eastAsia="Times New Roman" w:cs="Times New Roman"/>
          <w:b w:val="0"/>
          <w:i w:val="0"/>
          <w:smallCaps w:val="0"/>
          <w:strike w:val="0"/>
          <w:color w:val="000000"/>
          <w:sz w:val="24"/>
          <w:szCs w:val="24"/>
          <w:u w:val="none"/>
          <w:shd w:val="clear" w:fill="auto"/>
          <w:vertAlign w:val="baseline"/>
          <w:rtl w:val="0"/>
        </w:rPr>
        <w:t>órgãos e entidades públicas participantes do registro de preços</w:t>
      </w:r>
      <w:r>
        <w:rPr>
          <w:rFonts w:ascii="Times New Roman" w:hAnsi="Times New Roman" w:eastAsia="Times New Roman" w:cs="Times New Roman"/>
          <w:sz w:val="24"/>
          <w:szCs w:val="24"/>
          <w:rtl w:val="0"/>
        </w:rPr>
        <w:t>.</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left" w:pos="1418"/>
          <w:tab w:val="left" w:pos="1701"/>
        </w:tabs>
        <w:spacing w:before="0" w:after="0" w:line="360" w:lineRule="auto"/>
        <w:ind w:left="720" w:right="0" w:firstLine="0"/>
        <w:jc w:val="both"/>
        <w:rPr>
          <w:rFonts w:ascii="Times New Roman" w:hAnsi="Times New Roman" w:eastAsia="Times New Roman" w:cs="Times New Roman"/>
          <w:sz w:val="24"/>
          <w:szCs w:val="24"/>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bookmarkStart w:id="4" w:name="_heading=h.h1xo8qj962sr" w:colFirst="0" w:colLast="0"/>
      <w:bookmarkEnd w:id="4"/>
      <w:r>
        <w:rPr>
          <w:rFonts w:ascii="Times New Roman" w:hAnsi="Times New Roman" w:eastAsia="Times New Roman" w:cs="Times New Roman"/>
          <w:b/>
          <w:i w:val="0"/>
          <w:smallCaps w:val="0"/>
          <w:strike w:val="0"/>
          <w:color w:val="000000"/>
          <w:sz w:val="24"/>
          <w:szCs w:val="24"/>
          <w:u w:val="none"/>
          <w:shd w:val="clear" w:fill="auto"/>
          <w:vertAlign w:val="baseline"/>
          <w:rtl w:val="0"/>
        </w:rPr>
        <w:t>DA ADESÃO À ATA DE REGISTRO DE PREÇOS</w:t>
      </w:r>
    </w:p>
    <w:p>
      <w:pPr>
        <w:tabs>
          <w:tab w:val="left" w:pos="1418"/>
          <w:tab w:val="left" w:pos="1701"/>
        </w:tabs>
        <w:spacing w:line="360" w:lineRule="auto"/>
        <w:jc w:val="both"/>
        <w:rPr>
          <w:rFonts w:ascii="Times New Roman" w:hAnsi="Times New Roman" w:eastAsia="Times New Roman" w:cs="Times New Roman"/>
          <w:sz w:val="24"/>
          <w:szCs w:val="24"/>
        </w:rPr>
      </w:pPr>
    </w:p>
    <w:p>
      <w:pPr>
        <w:numPr>
          <w:ilvl w:val="1"/>
          <w:numId w:val="1"/>
        </w:numPr>
        <w:tabs>
          <w:tab w:val="left" w:pos="1418"/>
          <w:tab w:val="left" w:pos="1701"/>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Não será admitida a adesão à ata de registro de preços decorrente desta licitação.</w:t>
      </w:r>
    </w:p>
    <w:p>
      <w:pPr>
        <w:tabs>
          <w:tab w:val="left" w:pos="1418"/>
          <w:tab w:val="left" w:pos="1701"/>
        </w:tabs>
        <w:spacing w:line="360" w:lineRule="auto"/>
        <w:jc w:val="both"/>
        <w:rPr>
          <w:rFonts w:ascii="Times New Roman" w:hAnsi="Times New Roman" w:eastAsia="Times New Roman" w:cs="Times New Roman"/>
          <w:sz w:val="24"/>
          <w:szCs w:val="24"/>
        </w:rPr>
      </w:pP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r>
        <w:rPr>
          <w:rFonts w:ascii="Times New Roman" w:hAnsi="Times New Roman" w:eastAsia="Times New Roman" w:cs="Times New Roman"/>
          <w:b/>
          <w:i w:val="0"/>
          <w:smallCaps w:val="0"/>
          <w:strike w:val="0"/>
          <w:color w:val="000000"/>
          <w:sz w:val="24"/>
          <w:szCs w:val="24"/>
          <w:u w:val="none"/>
          <w:shd w:val="clear" w:fill="auto"/>
          <w:vertAlign w:val="baseline"/>
          <w:rtl w:val="0"/>
        </w:rPr>
        <w:t>Vedação a acréscimo de quantitativos</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p>
    <w:p>
      <w:pPr>
        <w:numPr>
          <w:ilvl w:val="1"/>
          <w:numId w:val="1"/>
        </w:numPr>
        <w:tabs>
          <w:tab w:val="left" w:pos="1418"/>
          <w:tab w:val="left" w:pos="1701"/>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É vedado efetuar acréscimos nos quantitativos fixados na ata de registro de preços.</w:t>
      </w:r>
    </w:p>
    <w:p>
      <w:pPr>
        <w:tabs>
          <w:tab w:val="left" w:pos="1418"/>
          <w:tab w:val="left" w:pos="1701"/>
        </w:tabs>
        <w:spacing w:line="360" w:lineRule="auto"/>
        <w:jc w:val="both"/>
        <w:rPr>
          <w:rFonts w:ascii="Times New Roman" w:hAnsi="Times New Roman" w:eastAsia="Times New Roman" w:cs="Times New Roman"/>
          <w:sz w:val="24"/>
          <w:szCs w:val="24"/>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bookmarkStart w:id="5" w:name="_heading=h.xpothivw34" w:colFirst="0" w:colLast="0"/>
      <w:bookmarkEnd w:id="5"/>
      <w:r>
        <w:rPr>
          <w:rFonts w:ascii="Times New Roman" w:hAnsi="Times New Roman" w:eastAsia="Times New Roman" w:cs="Times New Roman"/>
          <w:b/>
          <w:i w:val="0"/>
          <w:smallCaps w:val="0"/>
          <w:strike w:val="0"/>
          <w:color w:val="000000"/>
          <w:sz w:val="24"/>
          <w:szCs w:val="24"/>
          <w:u w:val="none"/>
          <w:shd w:val="clear" w:fill="auto"/>
          <w:vertAlign w:val="baseline"/>
          <w:rtl w:val="0"/>
        </w:rPr>
        <w:t>VALIDADE, FORMALIZAÇÃO DA ATA DE REGISTRO DE PREÇOS E CADASTRO RESERVA</w:t>
      </w:r>
    </w:p>
    <w:p>
      <w:pPr>
        <w:tabs>
          <w:tab w:val="left" w:pos="1418"/>
        </w:tabs>
        <w:spacing w:line="360" w:lineRule="auto"/>
        <w:jc w:val="both"/>
        <w:rPr>
          <w:rFonts w:ascii="Times New Roman" w:hAnsi="Times New Roman" w:eastAsia="Times New Roman" w:cs="Times New Roman"/>
          <w:sz w:val="24"/>
          <w:szCs w:val="24"/>
        </w:rPr>
      </w:pP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 xml:space="preserve">A validade da Ata de Registro de Preços será de 01 (um) ano, contado a partir do primeiro dia útil subsequente à data de divulgação no PNCP, </w:t>
      </w:r>
      <w:r>
        <w:rPr>
          <w:rFonts w:ascii="Times New Roman" w:hAnsi="Times New Roman" w:eastAsia="Times New Roman" w:cs="Times New Roman"/>
          <w:i/>
          <w:sz w:val="24"/>
          <w:szCs w:val="24"/>
          <w:rtl w:val="0"/>
        </w:rPr>
        <w:t>podendo ser prorrogada por igual período, mediante a anuência do fornecedor, desde que comprovado o preço vantajoso.</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01 (um) exercício financeiro.</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Na formalização do Contrato ou do instrumento substituto deverá haver a indicação da disponibilidade dos créditos orçamentários respectivos.</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O instrumento contratual de que trata o item 5.2 deverá ser assinado no prazo de validade da ata de registro de preços.</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Os contratos decorrentes do sistema de registro de preços poderão ser alterados, observado o art. 124 da Lei nº 14.133, de 2021.</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Após a homologação da licitação ou da contratação direta, deverão ser observadas as seguintes condições para formalização da ata de registro de preços:</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 xml:space="preserve">Serão registrados na ata os preços e os quantitativos do adjudicatário, devendo ser observada a possibilidade de o licitante oferecer ou não proposta em quantitativo inferior ao máximo previsto no </w:t>
      </w:r>
      <w:r>
        <w:rPr>
          <w:rFonts w:ascii="Times New Roman" w:hAnsi="Times New Roman" w:eastAsia="Times New Roman" w:cs="Times New Roman"/>
          <w:b w:val="0"/>
          <w:i/>
          <w:smallCaps w:val="0"/>
          <w:strike w:val="0"/>
          <w:color w:val="000000"/>
          <w:sz w:val="24"/>
          <w:szCs w:val="24"/>
          <w:u w:val="none"/>
          <w:shd w:val="clear" w:fill="auto"/>
          <w:vertAlign w:val="baseline"/>
          <w:rtl w:val="0"/>
        </w:rPr>
        <w:t>Edital ou no aviso de contratação direta</w:t>
      </w:r>
      <w:r>
        <w:rPr>
          <w:rFonts w:ascii="Times New Roman" w:hAnsi="Times New Roman" w:eastAsia="Times New Roman" w:cs="Times New Roman"/>
          <w:b w:val="0"/>
          <w:i w:val="0"/>
          <w:smallCaps w:val="0"/>
          <w:strike w:val="0"/>
          <w:color w:val="000000"/>
          <w:sz w:val="24"/>
          <w:szCs w:val="24"/>
          <w:u w:val="none"/>
          <w:shd w:val="clear" w:fill="auto"/>
          <w:vertAlign w:val="baseline"/>
          <w:rtl w:val="0"/>
        </w:rPr>
        <w:t xml:space="preserve"> e se obrigar nos limites dela;</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Será incluído na ata, na forma de anexo, o registro dos licitantes ou dos fornecedores que:</w:t>
      </w:r>
    </w:p>
    <w:p>
      <w:pPr>
        <w:keepNext w:val="0"/>
        <w:keepLines w:val="0"/>
        <w:pageBreakBefore w:val="0"/>
        <w:widowControl/>
        <w:numPr>
          <w:ilvl w:val="3"/>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Aceitarem cotar os bens, as obras ou os serviços com preços iguais aos do adjudicatário, observada a classificação da licitação; e</w:t>
      </w:r>
    </w:p>
    <w:p>
      <w:pPr>
        <w:keepNext w:val="0"/>
        <w:keepLines w:val="0"/>
        <w:pageBreakBefore w:val="0"/>
        <w:widowControl/>
        <w:numPr>
          <w:ilvl w:val="3"/>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 xml:space="preserve">Mantiverem sua proposta original. </w:t>
      </w:r>
      <w:bookmarkStart w:id="6" w:name="bookmark=id.30j0zll" w:colFirst="0" w:colLast="0"/>
      <w:bookmarkEnd w:id="6"/>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Será respeitada, nas contratações, a ordem de classificação dos licitantes ou dos fornecedores registrados na ata.</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O registro a que se refere o item 5.4.2 tem por objetivo a formação de cadastro de reserva para o caso de impossibilidade de atendimento pelo signatário da ata.</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Para fins da ordem de classificação, os licitantes ou fornecedores que aceitarem reduzir suas propostas para o preço do adjudicatário antecederão aqueles que mantiverem sua proposta original.</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A habilitação dos licitantes que comporão o cadastro de reserva a que se refere o item 5.4.2.2 somente será efetuada quando houver necessidade de contratação dos licitantes remanescentes, nas seguintes hipóteses:</w:t>
      </w:r>
      <w:bookmarkStart w:id="7" w:name="bookmark=id.1fob9te" w:colFirst="0" w:colLast="0"/>
      <w:bookmarkEnd w:id="7"/>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 xml:space="preserve">Quando o licitante vencedor não assinar a ata de registro de preços, no prazo e nas condições estabelecidos no </w:t>
      </w:r>
      <w:r>
        <w:rPr>
          <w:rFonts w:ascii="Times New Roman" w:hAnsi="Times New Roman" w:eastAsia="Times New Roman" w:cs="Times New Roman"/>
          <w:b w:val="0"/>
          <w:i/>
          <w:smallCaps w:val="0"/>
          <w:strike w:val="0"/>
          <w:color w:val="000000"/>
          <w:sz w:val="24"/>
          <w:szCs w:val="24"/>
          <w:u w:val="none"/>
          <w:shd w:val="clear" w:fill="auto"/>
          <w:vertAlign w:val="baseline"/>
          <w:rtl w:val="0"/>
        </w:rPr>
        <w:t>Edital ou no aviso de contratação direta</w:t>
      </w:r>
      <w:r>
        <w:rPr>
          <w:rFonts w:ascii="Times New Roman" w:hAnsi="Times New Roman" w:eastAsia="Times New Roman" w:cs="Times New Roman"/>
          <w:b w:val="0"/>
          <w:i w:val="0"/>
          <w:smallCaps w:val="0"/>
          <w:strike w:val="0"/>
          <w:color w:val="000000"/>
          <w:sz w:val="24"/>
          <w:szCs w:val="24"/>
          <w:u w:val="none"/>
          <w:shd w:val="clear" w:fill="auto"/>
          <w:vertAlign w:val="baseline"/>
          <w:rtl w:val="0"/>
        </w:rPr>
        <w:t>; e</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Quando houver o cancelamento do registro do licitante ou do registro de preços nas hipóteses previstas no item 9.</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O preço registrado com indicação dos licitantes e fornecedores será divulgado no PNCP e ficará disponibilizado durante a vigência da ata de registro de preços.</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O prazo de convocação poderá ser prorrogado 01 (uma) vez, por igual período, mediante solicitação do licitante ou fornecedor convocado, desde que apresentada dentro do prazo, devidamente justificada, e que a justificativa seja aceita pela Administração.</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A ata de registro de preços será assinada por meio de assinatura digital e disponibilizada no Sistema de Registro de Preços.</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8" w:name="bookmark=id.3znysh7" w:colFirst="0" w:colLast="0"/>
      <w:bookmarkEnd w:id="8"/>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 xml:space="preserve">Na hipótese de nenhum dos licitantes que trata o item 5.4.2.1, aceitar a contratação nos termos do item anterior, a Administração, observados o valor estimado e sua eventual atualização nos termos do </w:t>
      </w:r>
      <w:r>
        <w:rPr>
          <w:rFonts w:ascii="Times New Roman" w:hAnsi="Times New Roman" w:eastAsia="Times New Roman" w:cs="Times New Roman"/>
          <w:i/>
          <w:sz w:val="24"/>
          <w:szCs w:val="24"/>
          <w:rtl w:val="0"/>
        </w:rPr>
        <w:t>Edital ou aviso de contratação direta</w:t>
      </w:r>
      <w:r>
        <w:rPr>
          <w:rFonts w:ascii="Times New Roman" w:hAnsi="Times New Roman" w:eastAsia="Times New Roman" w:cs="Times New Roman"/>
          <w:sz w:val="24"/>
          <w:szCs w:val="24"/>
          <w:rtl w:val="0"/>
        </w:rPr>
        <w:t>, poderá:</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Convocar para negociação os demais licitantes ou fornecedores remanescentes cujos preços foram registrados sem redução, observada a ordem de classificação, com vistas à obtenção de preço melhor, mesmo que acima do preço do adjudicatário; ou</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Adjudicar e firmar o contrato nas condições ofertadas pelos licitantes ou fornecedores remanescentes, atendida a ordem classificatória, quando frustrada a negociação de melhor condição.</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color w:val="000000"/>
          <w:sz w:val="24"/>
          <w:szCs w:val="24"/>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bookmarkStart w:id="9" w:name="_heading=h.29vxlqfs6sat" w:colFirst="0" w:colLast="0"/>
      <w:bookmarkEnd w:id="9"/>
      <w:r>
        <w:rPr>
          <w:rFonts w:ascii="Times New Roman" w:hAnsi="Times New Roman" w:eastAsia="Times New Roman" w:cs="Times New Roman"/>
          <w:b/>
          <w:i w:val="0"/>
          <w:smallCaps w:val="0"/>
          <w:strike w:val="0"/>
          <w:color w:val="000000"/>
          <w:sz w:val="24"/>
          <w:szCs w:val="24"/>
          <w:u w:val="none"/>
          <w:shd w:val="clear" w:fill="auto"/>
          <w:vertAlign w:val="baseline"/>
          <w:rtl w:val="0"/>
        </w:rPr>
        <w:t>ALTERAÇÃO OU ATUALIZAÇÃO DOS PREÇOS REGISTRADOS</w:t>
      </w:r>
    </w:p>
    <w:p>
      <w:pPr>
        <w:tabs>
          <w:tab w:val="left" w:pos="1418"/>
        </w:tabs>
        <w:spacing w:line="360" w:lineRule="auto"/>
        <w:jc w:val="both"/>
        <w:rPr>
          <w:rFonts w:ascii="Times New Roman" w:hAnsi="Times New Roman" w:eastAsia="Times New Roman" w:cs="Times New Roman"/>
          <w:sz w:val="24"/>
          <w:szCs w:val="24"/>
        </w:rPr>
      </w:pP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Os preços registrados poderão ser alterados ou atualizados em decorrência de eventual redução dos preços praticados no mercado ou de fato que eleve o custo dos bens, das obras ou dos serviços registrados, nas seguintes situações:</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Em caso de criação, alteração ou extinção de quaisquer tributos ou encargos legais ou a superveniência de disposições legais, com comprovada repercussão sobre os preços registrados;</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 xml:space="preserve">Na hipótese de previsão no </w:t>
      </w:r>
      <w:r>
        <w:rPr>
          <w:rFonts w:ascii="Times New Roman" w:hAnsi="Times New Roman" w:eastAsia="Times New Roman" w:cs="Times New Roman"/>
          <w:b w:val="0"/>
          <w:i/>
          <w:smallCaps w:val="0"/>
          <w:strike w:val="0"/>
          <w:color w:val="000000"/>
          <w:sz w:val="24"/>
          <w:szCs w:val="24"/>
          <w:u w:val="none"/>
          <w:shd w:val="clear" w:fill="auto"/>
          <w:vertAlign w:val="baseline"/>
          <w:rtl w:val="0"/>
        </w:rPr>
        <w:t>Edital ou no aviso de contratação direta</w:t>
      </w:r>
      <w:r>
        <w:rPr>
          <w:rFonts w:ascii="Times New Roman" w:hAnsi="Times New Roman" w:eastAsia="Times New Roman" w:cs="Times New Roman"/>
          <w:b w:val="0"/>
          <w:i w:val="0"/>
          <w:smallCaps w:val="0"/>
          <w:strike w:val="0"/>
          <w:color w:val="000000"/>
          <w:sz w:val="24"/>
          <w:szCs w:val="24"/>
          <w:u w:val="none"/>
          <w:shd w:val="clear" w:fill="auto"/>
          <w:vertAlign w:val="baseline"/>
          <w:rtl w:val="0"/>
        </w:rPr>
        <w:t xml:space="preserve"> de cláusula de reajustamento ou repactuação sobre os preços registrados, nos termos da Lei nº 14.133, de 2021.</w:t>
      </w:r>
    </w:p>
    <w:p>
      <w:pPr>
        <w:keepNext w:val="0"/>
        <w:keepLines w:val="0"/>
        <w:pageBreakBefore w:val="0"/>
        <w:widowControl/>
        <w:numPr>
          <w:ilvl w:val="3"/>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No caso do reajustamento, deverá ser respeitada a contagem da anualidade e o índice previstos para a contratação;</w:t>
      </w:r>
    </w:p>
    <w:p>
      <w:pPr>
        <w:keepNext w:val="0"/>
        <w:keepLines w:val="0"/>
        <w:pageBreakBefore w:val="0"/>
        <w:widowControl/>
        <w:numPr>
          <w:ilvl w:val="3"/>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No caso da repactuação, poderá ser a pedido do interessado, conforme critérios definidos para a contratação.</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color w:val="000000"/>
          <w:sz w:val="24"/>
          <w:szCs w:val="24"/>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bookmarkStart w:id="10" w:name="_heading=h.vxd48q280q8r" w:colFirst="0" w:colLast="0"/>
      <w:bookmarkEnd w:id="10"/>
      <w:r>
        <w:rPr>
          <w:rFonts w:ascii="Times New Roman" w:hAnsi="Times New Roman" w:eastAsia="Times New Roman" w:cs="Times New Roman"/>
          <w:b/>
          <w:i w:val="0"/>
          <w:smallCaps w:val="0"/>
          <w:strike w:val="0"/>
          <w:color w:val="000000"/>
          <w:sz w:val="24"/>
          <w:szCs w:val="24"/>
          <w:u w:val="none"/>
          <w:shd w:val="clear" w:fill="auto"/>
          <w:vertAlign w:val="baseline"/>
          <w:rtl w:val="0"/>
        </w:rPr>
        <w:t>NEGOCIAÇÃO DE PREÇOS REGISTRADOS</w:t>
      </w:r>
    </w:p>
    <w:p>
      <w:pPr>
        <w:tabs>
          <w:tab w:val="left" w:pos="1418"/>
        </w:tabs>
        <w:spacing w:line="360" w:lineRule="auto"/>
        <w:jc w:val="both"/>
        <w:rPr>
          <w:rFonts w:ascii="Times New Roman" w:hAnsi="Times New Roman" w:eastAsia="Times New Roman" w:cs="Times New Roman"/>
          <w:sz w:val="24"/>
          <w:szCs w:val="24"/>
        </w:rPr>
      </w:pP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bookmarkStart w:id="11" w:name="_heading=h.44sinio" w:colFirst="0" w:colLast="0"/>
      <w:bookmarkEnd w:id="11"/>
      <w:r>
        <w:rPr>
          <w:rFonts w:ascii="Times New Roman" w:hAnsi="Times New Roman" w:eastAsia="Times New Roman" w:cs="Times New Roman"/>
          <w:sz w:val="24"/>
          <w:szCs w:val="24"/>
          <w:rtl w:val="0"/>
        </w:rPr>
        <w:t>Na hipótese de o preço registrado tornar-se superior ao preço praticado no mercado por motivo superveniente, o órgão ou entidade gerenciadora convocará o fornecedor para negociar a redução do preço registrado.</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Caso não aceite reduzir seu preço aos valores praticados pelo mercado, o fornecedor será liberado do compromisso assumido quanto ao item registrado, sem aplicação de penalidades administrativas.</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Se não obtiver êxito nas negociações, o órgão ou entidade gerenciadora procederá ao cancelamento da ata de registro de preços, adotando as medidas cabíveis para obtenção de contratação mais vantajosa.</w:t>
      </w:r>
      <w:bookmarkStart w:id="12" w:name="bookmark=id.2et92p0" w:colFirst="0" w:colLast="0"/>
      <w:bookmarkEnd w:id="12"/>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 w:name="bookmark=id.tyjcwt" w:colFirst="0" w:colLast="0"/>
      <w:bookmarkEnd w:id="13"/>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Neste caso, o fornecedor encaminhará, juntamente com o pedido de alteração, a documentação comprobatória ou a planilha de custos que demonstre a inviabilidade do preço registrado em relação às condições inicialmente pactuadas.</w:t>
      </w:r>
      <w:bookmarkStart w:id="14" w:name="bookmark=id.3dy6vkm" w:colFirst="0" w:colLast="0"/>
      <w:bookmarkEnd w:id="14"/>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15" w:name="bookmark=id.1t3h5sf" w:colFirst="0" w:colLast="0"/>
      <w:bookmarkEnd w:id="15"/>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Se não obtiver êxito nas negociações, o órgão ou entidade gerenciadora procederá ao cancelamento da ata de registro de preços, nos termos do item 9.4, e adotará as medidas cabíveis para a obtenção da contratação mais vantajosa.</w:t>
      </w:r>
      <w:bookmarkStart w:id="16" w:name="bookmark=id.4d34og8" w:colFirst="0" w:colLast="0"/>
      <w:bookmarkEnd w:id="16"/>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color w:val="000000"/>
          <w:sz w:val="24"/>
          <w:szCs w:val="24"/>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bookmarkStart w:id="17" w:name="_heading=h.xati63n2ex29" w:colFirst="0" w:colLast="0"/>
      <w:bookmarkEnd w:id="17"/>
      <w:r>
        <w:rPr>
          <w:rFonts w:ascii="Times New Roman" w:hAnsi="Times New Roman" w:eastAsia="Times New Roman" w:cs="Times New Roman"/>
          <w:b/>
          <w:i w:val="0"/>
          <w:smallCaps w:val="0"/>
          <w:strike w:val="0"/>
          <w:color w:val="000000"/>
          <w:sz w:val="24"/>
          <w:szCs w:val="24"/>
          <w:u w:val="none"/>
          <w:shd w:val="clear" w:fill="auto"/>
          <w:vertAlign w:val="baseline"/>
          <w:rtl w:val="0"/>
        </w:rPr>
        <w:t>REMANEJAMENTO DAS QUANTIDADES REGISTRADAS NA ATA DE REGISTRO DE PREÇOS</w:t>
      </w:r>
    </w:p>
    <w:p>
      <w:pPr>
        <w:tabs>
          <w:tab w:val="left" w:pos="1418"/>
        </w:tabs>
        <w:spacing w:line="360" w:lineRule="auto"/>
        <w:jc w:val="both"/>
        <w:rPr>
          <w:rFonts w:ascii="Times New Roman" w:hAnsi="Times New Roman" w:eastAsia="Times New Roman" w:cs="Times New Roman"/>
          <w:sz w:val="24"/>
          <w:szCs w:val="24"/>
        </w:rPr>
      </w:pP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As quantidades previstas para os itens com preços registrados nas atas de registro de preços poderão ser remanejadas pelo órgão ou entidade gerenciadora entre os órgãos ou as entidades participantes e não participantes do registro de preços.</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O remanejamento somente poderá ser feito:</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De órgão ou entidade participante para órgão ou entidade participante; ou</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De órgão ou entidade participante para órgão ou entidade não participante.</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O órgão ou entidade gerenciadora que tiver estimado as quantidades que pretende contratar será considerado participante para efeito do remanejamento.</w:t>
      </w:r>
      <w:bookmarkStart w:id="18" w:name="bookmark=id.2s8eyo1" w:colFirst="0" w:colLast="0"/>
      <w:bookmarkEnd w:id="18"/>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Na hipótese de remanejamento de órgão ou entidade participante para órgão ou entidade não participante, serão observados os limites previstos no art. 32 do Decreto nº 11.462, de 2023.</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color w:val="000000"/>
          <w:sz w:val="24"/>
          <w:szCs w:val="24"/>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bookmarkStart w:id="19" w:name="_heading=h.ie30fjtpuedu" w:colFirst="0" w:colLast="0"/>
      <w:bookmarkEnd w:id="19"/>
      <w:r>
        <w:rPr>
          <w:rFonts w:ascii="Times New Roman" w:hAnsi="Times New Roman" w:eastAsia="Times New Roman" w:cs="Times New Roman"/>
          <w:b/>
          <w:i w:val="0"/>
          <w:smallCaps w:val="0"/>
          <w:strike w:val="0"/>
          <w:color w:val="000000"/>
          <w:sz w:val="24"/>
          <w:szCs w:val="24"/>
          <w:u w:val="none"/>
          <w:shd w:val="clear" w:fill="auto"/>
          <w:vertAlign w:val="baseline"/>
          <w:rtl w:val="0"/>
        </w:rPr>
        <w:t>CANCELAMENTO DO REGISTRO DO LICITANTE VENCEDOR E DOS PREÇOS REGISTRADOS</w:t>
      </w:r>
    </w:p>
    <w:p>
      <w:pPr>
        <w:keepNext w:val="0"/>
        <w:keepLines w:val="0"/>
        <w:pageBreakBefore w:val="0"/>
        <w:widowControl/>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O registro do fornecedor será cancelado pelo gerenciador, quando o fornecedor:</w:t>
      </w:r>
      <w:bookmarkStart w:id="20" w:name="bookmark=id.17dp8vu" w:colFirst="0" w:colLast="0"/>
      <w:bookmarkEnd w:id="20"/>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Descumprir as condições da ata de registro de preços, sem motivo justificado;</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Não retirar a nota de empenho, ou instrumento equivalente, no prazo estabelecido pela Administração sem justificativa razoável;</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Não aceitar manter seu preço registrado, na hipótese prevista no artigo 27, § 2º, do Decreto nº 11.462, de 2023; ou</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Sofrer sanção prevista nos incisos III ou IV do caput do art. 156 da Lei nº 14.133, de 2021.</w:t>
      </w:r>
    </w:p>
    <w:p>
      <w:pPr>
        <w:keepNext w:val="0"/>
        <w:keepLines w:val="0"/>
        <w:pageBreakBefore w:val="0"/>
        <w:widowControl/>
        <w:numPr>
          <w:ilvl w:val="3"/>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 xml:space="preserve">Na hipótese de aplicação de sanção prevista nos incisos III ou IV do </w:t>
      </w:r>
      <w:r>
        <w:rPr>
          <w:rFonts w:ascii="Times New Roman" w:hAnsi="Times New Roman" w:eastAsia="Times New Roman" w:cs="Times New Roman"/>
          <w:b w:val="0"/>
          <w:i/>
          <w:smallCaps w:val="0"/>
          <w:strike w:val="0"/>
          <w:color w:val="000000"/>
          <w:sz w:val="24"/>
          <w:szCs w:val="24"/>
          <w:u w:val="none"/>
          <w:shd w:val="clear" w:fill="auto"/>
          <w:vertAlign w:val="baseline"/>
          <w:rtl w:val="0"/>
        </w:rPr>
        <w:t>caput</w:t>
      </w:r>
      <w:r>
        <w:rPr>
          <w:rFonts w:ascii="Times New Roman" w:hAnsi="Times New Roman" w:eastAsia="Times New Roman" w:cs="Times New Roman"/>
          <w:b w:val="0"/>
          <w:i w:val="0"/>
          <w:smallCaps w:val="0"/>
          <w:strike w:val="0"/>
          <w:color w:val="000000"/>
          <w:sz w:val="24"/>
          <w:szCs w:val="24"/>
          <w:u w:val="none"/>
          <w:shd w:val="clear" w:fill="auto"/>
          <w:vertAlign w:val="baseline"/>
          <w:rtl w:val="0"/>
        </w:rPr>
        <w:t xml:space="preserve">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O cancelamento de registros nas hipóteses previstas no item 9.1 será formalizado por despacho do órgão ou da entidade gerenciadora, garantidos os princípios do contraditório e da ampla defesa.</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Na hipótese de cancelamento do registro do fornecedor, o órgão ou a entidade gerenciadora poderá convocar os licitantes que compõem o cadastro de reserva, observada a ordem de classificação.</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O cancelamento dos preços registrados poderá ser realizado pelo gerenciador, em determinada ata de registro de preços, total ou parcialmente, nas seguintes hipóteses, desde que devidamente comprovadas e justificadas:</w:t>
      </w:r>
      <w:bookmarkStart w:id="21" w:name="bookmark=id.3rdcrjn" w:colFirst="0" w:colLast="0"/>
      <w:bookmarkEnd w:id="21"/>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Por razão de interesse público;</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A pedido do fornecedor, decorrente de caso fortuito ou força maior; ou</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Se não houver êxito nas negociações, nas hipóteses em que o preço de mercado tornar-se superior ou inferior ao preço registrado, nos termos dos artigos 26, § 3º e 27, § 4º, ambos do Decreto nº 11.462, de 2023.</w:t>
      </w:r>
    </w:p>
    <w:p>
      <w:pPr>
        <w:keepNext w:val="0"/>
        <w:keepLines w:val="0"/>
        <w:pageBreakBefore w:val="0"/>
        <w:widowControl/>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r>
        <w:rPr>
          <w:rFonts w:ascii="Times New Roman" w:hAnsi="Times New Roman" w:eastAsia="Times New Roman" w:cs="Times New Roman"/>
          <w:b/>
          <w:i w:val="0"/>
          <w:smallCaps w:val="0"/>
          <w:strike w:val="0"/>
          <w:color w:val="000000"/>
          <w:sz w:val="24"/>
          <w:szCs w:val="24"/>
          <w:u w:val="none"/>
          <w:shd w:val="clear" w:fill="auto"/>
          <w:vertAlign w:val="baseline"/>
          <w:rtl w:val="0"/>
        </w:rPr>
        <w:t>DAS PENALIDADES</w:t>
      </w:r>
    </w:p>
    <w:p>
      <w:pPr>
        <w:keepNext w:val="0"/>
        <w:keepLines w:val="0"/>
        <w:pageBreakBefore w:val="0"/>
        <w:widowControl/>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 xml:space="preserve">O descumprimento da Ata de Registro de Preços ensejará aplicação das penalidades estabelecidas no </w:t>
      </w:r>
      <w:r>
        <w:rPr>
          <w:rFonts w:ascii="Times New Roman" w:hAnsi="Times New Roman" w:eastAsia="Times New Roman" w:cs="Times New Roman"/>
          <w:i/>
          <w:sz w:val="24"/>
          <w:szCs w:val="24"/>
          <w:rtl w:val="0"/>
        </w:rPr>
        <w:t>Edital.</w:t>
      </w:r>
    </w:p>
    <w:p>
      <w:pPr>
        <w:keepNext w:val="0"/>
        <w:keepLines w:val="0"/>
        <w:pageBreakBefore w:val="0"/>
        <w:widowControl/>
        <w:numPr>
          <w:ilvl w:val="2"/>
          <w:numId w:val="1"/>
        </w:numPr>
        <w:pBdr>
          <w:top w:val="none" w:color="auto" w:sz="0" w:space="0"/>
          <w:left w:val="none" w:color="auto" w:sz="0" w:space="0"/>
          <w:bottom w:val="none" w:color="auto" w:sz="0" w:space="0"/>
          <w:right w:val="none" w:color="auto" w:sz="0" w:space="0"/>
          <w:between w:val="none" w:color="auto"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r>
        <w:rPr>
          <w:rFonts w:ascii="Times New Roman" w:hAnsi="Times New Roman" w:eastAsia="Times New Roman" w:cs="Times New Roman"/>
          <w:b w:val="0"/>
          <w:i w:val="0"/>
          <w:smallCaps w:val="0"/>
          <w:strike w:val="0"/>
          <w:color w:val="000000"/>
          <w:sz w:val="24"/>
          <w:szCs w:val="24"/>
          <w:u w:val="none"/>
          <w:shd w:val="clear" w:fill="auto"/>
          <w:vertAlign w:val="baseline"/>
          <w:rtl w:val="0"/>
        </w:rPr>
        <w:t>As sanções também se aplicam aos integrantes do cadastro de reserva no registro de preços que, convocados, não honrarem o compromisso assumido injustificadamente após terem assinado a ata.</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O órgão ou entidade participante deverá comunicar ao órgão gerenciador qualquer das ocorrências previstas no item 9.1, dada a necessidade de instauração de procedimento para cancelamento do registro do fornecedor.</w:t>
      </w:r>
    </w:p>
    <w:p>
      <w:pPr>
        <w:keepNext w:val="0"/>
        <w:keepLines w:val="0"/>
        <w:pageBreakBefore w:val="0"/>
        <w:widowControl/>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val="0"/>
          <w:i w:val="0"/>
          <w:smallCaps w:val="0"/>
          <w:strike w:val="0"/>
          <w:color w:val="000000"/>
          <w:sz w:val="24"/>
          <w:szCs w:val="24"/>
          <w:u w:val="none"/>
          <w:shd w:val="clear" w:fill="auto"/>
          <w:vertAlign w:val="baseline"/>
        </w:rPr>
      </w:pPr>
    </w:p>
    <w:p>
      <w:pPr>
        <w:keepNext w:val="0"/>
        <w:keepLines w:val="0"/>
        <w:pageBreakBefore w:val="0"/>
        <w:widowControl/>
        <w:numPr>
          <w:ilvl w:val="0"/>
          <w:numId w:val="1"/>
        </w:numPr>
        <w:pBdr>
          <w:top w:val="none" w:color="000000" w:sz="0" w:space="0"/>
          <w:left w:val="none" w:color="000000" w:sz="0" w:space="0"/>
          <w:bottom w:val="none" w:color="000000" w:sz="0" w:space="0"/>
          <w:right w:val="none" w:color="000000" w:sz="0" w:space="0"/>
          <w:between w:val="none" w:color="000000" w:sz="0" w:space="0"/>
        </w:pBdr>
        <w:shd w:val="clear" w:fill="auto"/>
        <w:tabs>
          <w:tab w:val="left" w:pos="1418"/>
        </w:tabs>
        <w:spacing w:before="0" w:after="0" w:line="360" w:lineRule="auto"/>
        <w:ind w:left="0" w:right="0" w:firstLine="0"/>
        <w:jc w:val="both"/>
        <w:rPr>
          <w:rFonts w:ascii="Times New Roman" w:hAnsi="Times New Roman" w:eastAsia="Times New Roman" w:cs="Times New Roman"/>
          <w:b/>
          <w:i w:val="0"/>
          <w:smallCaps w:val="0"/>
          <w:strike w:val="0"/>
          <w:color w:val="000000"/>
          <w:sz w:val="24"/>
          <w:szCs w:val="24"/>
          <w:u w:val="none"/>
          <w:shd w:val="clear" w:fill="auto"/>
          <w:vertAlign w:val="baseline"/>
        </w:rPr>
      </w:pPr>
      <w:r>
        <w:rPr>
          <w:rFonts w:ascii="Times New Roman" w:hAnsi="Times New Roman" w:eastAsia="Times New Roman" w:cs="Times New Roman"/>
          <w:b/>
          <w:i w:val="0"/>
          <w:smallCaps w:val="0"/>
          <w:strike w:val="0"/>
          <w:color w:val="000000"/>
          <w:sz w:val="24"/>
          <w:szCs w:val="24"/>
          <w:u w:val="none"/>
          <w:shd w:val="clear" w:fill="auto"/>
          <w:vertAlign w:val="baseline"/>
          <w:rtl w:val="0"/>
        </w:rPr>
        <w:t>CONDIÇÕES GERAIS</w:t>
      </w:r>
    </w:p>
    <w:p>
      <w:pPr>
        <w:tabs>
          <w:tab w:val="left" w:pos="1418"/>
        </w:tabs>
        <w:spacing w:line="360" w:lineRule="auto"/>
        <w:jc w:val="both"/>
        <w:rPr>
          <w:rFonts w:ascii="Times New Roman" w:hAnsi="Times New Roman" w:eastAsia="Times New Roman" w:cs="Times New Roman"/>
          <w:sz w:val="24"/>
          <w:szCs w:val="24"/>
        </w:rPr>
      </w:pP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rFonts w:ascii="Times New Roman" w:hAnsi="Times New Roman" w:eastAsia="Times New Roman" w:cs="Times New Roman"/>
          <w:i/>
          <w:sz w:val="24"/>
          <w:szCs w:val="24"/>
          <w:rtl w:val="0"/>
        </w:rPr>
        <w:t>ANEXO AO EDITAL.</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sz w:val="24"/>
          <w:szCs w:val="24"/>
        </w:rPr>
      </w:pPr>
    </w:p>
    <w:p>
      <w:pPr>
        <w:numPr>
          <w:ilvl w:val="1"/>
          <w:numId w:val="1"/>
        </w:num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ind w:left="0" w:firstLine="0"/>
        <w:jc w:val="both"/>
        <w:rPr>
          <w:rFonts w:ascii="Times New Roman" w:hAnsi="Times New Roman" w:eastAsia="Times New Roman" w:cs="Times New Roman"/>
          <w:i/>
          <w:sz w:val="24"/>
          <w:szCs w:val="24"/>
        </w:rPr>
      </w:pPr>
      <w:r>
        <w:rPr>
          <w:rFonts w:ascii="Times New Roman" w:hAnsi="Times New Roman" w:eastAsia="Times New Roman" w:cs="Times New Roman"/>
          <w:i/>
          <w:sz w:val="24"/>
          <w:szCs w:val="24"/>
          <w:rtl w:val="0"/>
        </w:rPr>
        <w:t>No caso de adjudicação por preço global de grupo de itens, só será admitida a contratação de parte de itens do grupo se houver prévia pesquisa de mercado e demonstração de sua vantagem para o órgão ou a entidade.</w:t>
      </w: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i/>
          <w:sz w:val="24"/>
          <w:szCs w:val="24"/>
        </w:rPr>
      </w:pP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i/>
          <w:sz w:val="24"/>
          <w:szCs w:val="24"/>
        </w:rPr>
      </w:pPr>
    </w:p>
    <w:p>
      <w:pPr>
        <w:pBdr>
          <w:top w:val="none" w:color="000000" w:sz="0" w:space="0"/>
          <w:left w:val="none" w:color="000000" w:sz="0" w:space="0"/>
          <w:bottom w:val="none" w:color="000000" w:sz="0" w:space="0"/>
          <w:right w:val="none" w:color="000000" w:sz="0" w:space="0"/>
          <w:between w:val="none" w:color="000000" w:sz="0" w:space="0"/>
        </w:pBdr>
        <w:tabs>
          <w:tab w:val="left" w:pos="1418"/>
        </w:tabs>
        <w:spacing w:line="360" w:lineRule="auto"/>
        <w:jc w:val="both"/>
        <w:rPr>
          <w:rFonts w:ascii="Times New Roman" w:hAnsi="Times New Roman" w:eastAsia="Times New Roman" w:cs="Times New Roman"/>
          <w:i/>
          <w:sz w:val="24"/>
          <w:szCs w:val="24"/>
        </w:rPr>
      </w:pPr>
    </w:p>
    <w:p>
      <w:pPr>
        <w:widowControl w:val="0"/>
        <w:spacing w:line="36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tl w:val="0"/>
        </w:rPr>
        <w:t>Para firmeza e validade do pactuado, a presente Ata foi lavrada em 02 (duas) vias de igual teor, que, depois de lida e achada em ordem, vai assinada pelas partes.</w:t>
      </w:r>
    </w:p>
    <w:p>
      <w:pPr>
        <w:tabs>
          <w:tab w:val="left" w:pos="1418"/>
        </w:tabs>
        <w:spacing w:line="360" w:lineRule="auto"/>
        <w:jc w:val="both"/>
        <w:rPr>
          <w:rFonts w:ascii="Times New Roman" w:hAnsi="Times New Roman" w:eastAsia="Times New Roman" w:cs="Times New Roman"/>
          <w:sz w:val="24"/>
          <w:szCs w:val="24"/>
        </w:rPr>
      </w:pPr>
    </w:p>
    <w:p>
      <w:pPr>
        <w:tabs>
          <w:tab w:val="left" w:pos="1418"/>
        </w:tabs>
        <w:spacing w:line="360" w:lineRule="auto"/>
        <w:jc w:val="both"/>
        <w:rPr>
          <w:rFonts w:ascii="Times New Roman" w:hAnsi="Times New Roman" w:eastAsia="Times New Roman" w:cs="Times New Roman"/>
          <w:sz w:val="24"/>
          <w:szCs w:val="24"/>
        </w:rPr>
      </w:pPr>
    </w:p>
    <w:p>
      <w:pPr>
        <w:tabs>
          <w:tab w:val="left" w:pos="1418"/>
        </w:tabs>
        <w:spacing w:line="360" w:lineRule="auto"/>
        <w:jc w:val="both"/>
        <w:rPr>
          <w:rFonts w:ascii="Times New Roman" w:hAnsi="Times New Roman" w:eastAsia="Times New Roman" w:cs="Times New Roman"/>
          <w:sz w:val="24"/>
          <w:szCs w:val="24"/>
        </w:rPr>
      </w:pPr>
    </w:p>
    <w:p>
      <w:pPr>
        <w:tabs>
          <w:tab w:val="left" w:pos="1418"/>
        </w:tabs>
        <w:spacing w:line="360" w:lineRule="auto"/>
        <w:jc w:val="both"/>
        <w:rPr>
          <w:rFonts w:ascii="Times New Roman" w:hAnsi="Times New Roman" w:eastAsia="Times New Roman" w:cs="Times New Roman"/>
          <w:sz w:val="24"/>
          <w:szCs w:val="24"/>
        </w:rPr>
      </w:pPr>
    </w:p>
    <w:p>
      <w:pPr>
        <w:tabs>
          <w:tab w:val="left" w:pos="1418"/>
        </w:tabs>
        <w:spacing w:line="360" w:lineRule="auto"/>
        <w:ind w:right="-15"/>
        <w:jc w:val="center"/>
        <w:rPr>
          <w:rFonts w:ascii="Times New Roman" w:hAnsi="Times New Roman" w:eastAsia="Times New Roman" w:cs="Times New Roman"/>
          <w:b/>
          <w:sz w:val="24"/>
          <w:szCs w:val="24"/>
          <w:highlight w:val="white"/>
        </w:rPr>
      </w:pPr>
      <w:r>
        <w:rPr>
          <w:rFonts w:ascii="Times New Roman" w:hAnsi="Times New Roman" w:eastAsia="Times New Roman" w:cs="Times New Roman"/>
          <w:b/>
          <w:sz w:val="24"/>
          <w:szCs w:val="24"/>
          <w:highlight w:val="white"/>
          <w:rtl w:val="0"/>
        </w:rPr>
        <w:t>Local e data</w:t>
      </w:r>
    </w:p>
    <w:p>
      <w:pPr>
        <w:tabs>
          <w:tab w:val="left" w:pos="1418"/>
        </w:tabs>
        <w:spacing w:line="360" w:lineRule="auto"/>
        <w:ind w:right="-15"/>
        <w:jc w:val="center"/>
        <w:rPr>
          <w:rFonts w:ascii="Times New Roman" w:hAnsi="Times New Roman" w:eastAsia="Times New Roman" w:cs="Times New Roman"/>
          <w:b/>
          <w:sz w:val="24"/>
          <w:szCs w:val="24"/>
          <w:highlight w:val="white"/>
        </w:rPr>
      </w:pPr>
    </w:p>
    <w:p>
      <w:pPr>
        <w:tabs>
          <w:tab w:val="left" w:pos="1418"/>
        </w:tabs>
        <w:spacing w:line="360" w:lineRule="auto"/>
        <w:ind w:right="-15"/>
        <w:jc w:val="center"/>
        <w:rPr>
          <w:rFonts w:ascii="Times New Roman" w:hAnsi="Times New Roman" w:eastAsia="Times New Roman" w:cs="Times New Roman"/>
          <w:b/>
          <w:sz w:val="24"/>
          <w:szCs w:val="24"/>
          <w:highlight w:val="white"/>
        </w:rPr>
      </w:pPr>
    </w:p>
    <w:p>
      <w:pPr>
        <w:tabs>
          <w:tab w:val="left" w:pos="1418"/>
        </w:tabs>
        <w:spacing w:line="360" w:lineRule="auto"/>
        <w:ind w:right="-15"/>
        <w:jc w:val="center"/>
        <w:rPr>
          <w:rFonts w:ascii="Times New Roman" w:hAnsi="Times New Roman" w:eastAsia="Times New Roman" w:cs="Times New Roman"/>
          <w:b/>
          <w:sz w:val="24"/>
          <w:szCs w:val="24"/>
          <w:highlight w:val="white"/>
        </w:rPr>
      </w:pPr>
    </w:p>
    <w:p>
      <w:pPr>
        <w:tabs>
          <w:tab w:val="left" w:pos="1418"/>
        </w:tabs>
        <w:spacing w:line="360" w:lineRule="auto"/>
        <w:ind w:right="-15"/>
        <w:jc w:val="center"/>
        <w:rPr>
          <w:rFonts w:ascii="Times New Roman" w:hAnsi="Times New Roman" w:eastAsia="Times New Roman" w:cs="Times New Roman"/>
          <w:b/>
          <w:sz w:val="24"/>
          <w:szCs w:val="24"/>
          <w:highlight w:val="white"/>
        </w:rPr>
      </w:pPr>
    </w:p>
    <w:p>
      <w:pPr>
        <w:tabs>
          <w:tab w:val="left" w:pos="1418"/>
        </w:tabs>
        <w:spacing w:line="360" w:lineRule="auto"/>
        <w:ind w:right="-15"/>
        <w:jc w:val="center"/>
        <w:rPr>
          <w:rFonts w:ascii="Times New Roman" w:hAnsi="Times New Roman" w:eastAsia="Times New Roman" w:cs="Times New Roman"/>
          <w:b/>
          <w:sz w:val="24"/>
          <w:szCs w:val="24"/>
          <w:highlight w:val="white"/>
        </w:rPr>
      </w:pPr>
    </w:p>
    <w:p>
      <w:pPr>
        <w:tabs>
          <w:tab w:val="left" w:pos="1418"/>
        </w:tabs>
        <w:spacing w:line="360" w:lineRule="auto"/>
        <w:ind w:right="-15"/>
        <w:jc w:val="center"/>
        <w:rPr>
          <w:rFonts w:ascii="Times New Roman" w:hAnsi="Times New Roman" w:eastAsia="Times New Roman" w:cs="Times New Roman"/>
          <w:b/>
          <w:sz w:val="24"/>
          <w:szCs w:val="24"/>
          <w:highlight w:val="white"/>
        </w:rPr>
      </w:pPr>
    </w:p>
    <w:p>
      <w:pPr>
        <w:tabs>
          <w:tab w:val="left" w:pos="1418"/>
        </w:tabs>
        <w:spacing w:line="360" w:lineRule="auto"/>
        <w:ind w:right="-15"/>
        <w:jc w:val="center"/>
        <w:rPr>
          <w:rFonts w:ascii="Times New Roman" w:hAnsi="Times New Roman" w:eastAsia="Times New Roman" w:cs="Times New Roman"/>
          <w:b/>
          <w:sz w:val="24"/>
          <w:szCs w:val="24"/>
          <w:highlight w:val="white"/>
        </w:rPr>
      </w:pPr>
      <w:r>
        <w:rPr>
          <w:rFonts w:ascii="Times New Roman" w:hAnsi="Times New Roman" w:eastAsia="Times New Roman" w:cs="Times New Roman"/>
          <w:b/>
          <w:sz w:val="24"/>
          <w:szCs w:val="24"/>
          <w:highlight w:val="white"/>
          <w:rtl w:val="0"/>
        </w:rPr>
        <w:t>Assinaturas</w:t>
      </w:r>
    </w:p>
    <w:p>
      <w:pPr>
        <w:tabs>
          <w:tab w:val="left" w:pos="1418"/>
        </w:tabs>
        <w:spacing w:line="360" w:lineRule="auto"/>
        <w:ind w:right="-15"/>
        <w:jc w:val="center"/>
        <w:rPr>
          <w:rFonts w:ascii="Times New Roman" w:hAnsi="Times New Roman" w:eastAsia="Times New Roman" w:cs="Times New Roman"/>
          <w:b/>
          <w:sz w:val="24"/>
          <w:szCs w:val="24"/>
          <w:highlight w:val="white"/>
        </w:rPr>
      </w:pPr>
      <w:r>
        <w:rPr>
          <w:rFonts w:ascii="Times New Roman" w:hAnsi="Times New Roman" w:eastAsia="Times New Roman" w:cs="Times New Roman"/>
          <w:b/>
          <w:sz w:val="24"/>
          <w:szCs w:val="24"/>
          <w:highlight w:val="white"/>
          <w:rtl w:val="0"/>
        </w:rPr>
        <w:t>Representante legal do órgão gerenciador e representante(s) legal(is) do(s) fornecedor(s) registrado(s)</w:t>
      </w:r>
    </w:p>
    <w:p>
      <w:pPr>
        <w:rPr>
          <w:rFonts w:ascii="Times New Roman" w:hAnsi="Times New Roman" w:eastAsia="Times New Roman" w:cs="Times New Roman"/>
          <w:b/>
          <w:sz w:val="24"/>
          <w:szCs w:val="24"/>
          <w:highlight w:val="white"/>
        </w:rPr>
      </w:pPr>
      <w:r>
        <w:br w:type="page"/>
      </w:r>
    </w:p>
    <w:p>
      <w:pPr>
        <w:tabs>
          <w:tab w:val="left" w:pos="1418"/>
        </w:tabs>
        <w:spacing w:line="360" w:lineRule="auto"/>
        <w:ind w:right="-15"/>
        <w:jc w:val="center"/>
        <w:rPr>
          <w:rFonts w:ascii="Times New Roman" w:hAnsi="Times New Roman" w:eastAsia="Times New Roman" w:cs="Times New Roman"/>
          <w:b/>
          <w:sz w:val="24"/>
          <w:szCs w:val="24"/>
          <w:highlight w:val="white"/>
          <w:u w:val="single"/>
        </w:rPr>
      </w:pPr>
      <w:r>
        <w:rPr>
          <w:rFonts w:ascii="Times New Roman" w:hAnsi="Times New Roman" w:eastAsia="Times New Roman" w:cs="Times New Roman"/>
          <w:b/>
          <w:sz w:val="24"/>
          <w:szCs w:val="24"/>
          <w:highlight w:val="white"/>
          <w:u w:val="single"/>
          <w:rtl w:val="0"/>
        </w:rPr>
        <w:t>ANEXO DA ATA DE REGISTRO DE PREÇOS</w:t>
      </w:r>
    </w:p>
    <w:p>
      <w:pPr>
        <w:tabs>
          <w:tab w:val="left" w:pos="1418"/>
        </w:tabs>
        <w:spacing w:line="360" w:lineRule="auto"/>
        <w:ind w:right="-15"/>
        <w:jc w:val="center"/>
        <w:rPr>
          <w:rFonts w:ascii="Times New Roman" w:hAnsi="Times New Roman" w:eastAsia="Times New Roman" w:cs="Times New Roman"/>
          <w:b/>
          <w:sz w:val="24"/>
          <w:szCs w:val="24"/>
          <w:highlight w:val="white"/>
        </w:rPr>
      </w:pPr>
    </w:p>
    <w:p>
      <w:pPr>
        <w:tabs>
          <w:tab w:val="left" w:pos="1418"/>
        </w:tabs>
        <w:spacing w:line="360" w:lineRule="auto"/>
        <w:ind w:right="-15"/>
        <w:jc w:val="center"/>
        <w:rPr>
          <w:rFonts w:ascii="Times New Roman" w:hAnsi="Times New Roman" w:eastAsia="Times New Roman" w:cs="Times New Roman"/>
          <w:b/>
          <w:sz w:val="24"/>
          <w:szCs w:val="24"/>
          <w:highlight w:val="white"/>
        </w:rPr>
      </w:pPr>
    </w:p>
    <w:p>
      <w:pPr>
        <w:tabs>
          <w:tab w:val="left" w:pos="1418"/>
        </w:tabs>
        <w:spacing w:line="360" w:lineRule="auto"/>
        <w:ind w:right="-15"/>
        <w:jc w:val="center"/>
        <w:rPr>
          <w:rFonts w:ascii="Times New Roman" w:hAnsi="Times New Roman" w:eastAsia="Times New Roman" w:cs="Times New Roman"/>
          <w:b/>
          <w:sz w:val="24"/>
          <w:szCs w:val="24"/>
          <w:highlight w:val="white"/>
        </w:rPr>
      </w:pPr>
      <w:r>
        <w:rPr>
          <w:rFonts w:ascii="Times New Roman" w:hAnsi="Times New Roman" w:eastAsia="Times New Roman" w:cs="Times New Roman"/>
          <w:b/>
          <w:sz w:val="24"/>
          <w:szCs w:val="24"/>
          <w:highlight w:val="white"/>
          <w:rtl w:val="0"/>
        </w:rPr>
        <w:t>CADASTRO RESERVA</w:t>
      </w:r>
    </w:p>
    <w:p>
      <w:pPr>
        <w:tabs>
          <w:tab w:val="left" w:pos="1418"/>
        </w:tabs>
        <w:spacing w:line="360" w:lineRule="auto"/>
        <w:ind w:right="-15"/>
        <w:jc w:val="center"/>
        <w:rPr>
          <w:rFonts w:ascii="Times New Roman" w:hAnsi="Times New Roman" w:eastAsia="Times New Roman" w:cs="Times New Roman"/>
          <w:b/>
          <w:sz w:val="24"/>
          <w:szCs w:val="24"/>
          <w:highlight w:val="white"/>
        </w:rPr>
      </w:pPr>
    </w:p>
    <w:p>
      <w:pPr>
        <w:tabs>
          <w:tab w:val="left" w:pos="1418"/>
        </w:tabs>
        <w:spacing w:line="360" w:lineRule="auto"/>
        <w:ind w:right="-15"/>
        <w:jc w:val="center"/>
        <w:rPr>
          <w:rFonts w:ascii="Times New Roman" w:hAnsi="Times New Roman" w:eastAsia="Times New Roman" w:cs="Times New Roman"/>
          <w:b/>
          <w:sz w:val="24"/>
          <w:szCs w:val="24"/>
          <w:highlight w:val="white"/>
        </w:rPr>
      </w:pPr>
    </w:p>
    <w:p>
      <w:pPr>
        <w:tabs>
          <w:tab w:val="left" w:pos="1418"/>
        </w:tabs>
        <w:spacing w:line="360" w:lineRule="auto"/>
        <w:ind w:right="-15"/>
        <w:jc w:val="center"/>
        <w:rPr>
          <w:rFonts w:ascii="Times New Roman" w:hAnsi="Times New Roman" w:eastAsia="Times New Roman" w:cs="Times New Roman"/>
          <w:b/>
          <w:i/>
          <w:color w:val="000000"/>
          <w:sz w:val="24"/>
          <w:szCs w:val="24"/>
        </w:rPr>
      </w:pPr>
      <w:r>
        <w:rPr>
          <w:rFonts w:ascii="Times New Roman" w:hAnsi="Times New Roman" w:eastAsia="Times New Roman" w:cs="Times New Roman"/>
          <w:b/>
          <w:i/>
          <w:color w:val="000000"/>
          <w:sz w:val="24"/>
          <w:szCs w:val="24"/>
          <w:rtl w:val="0"/>
        </w:rPr>
        <w:t>Seguindo a ordem de classificação, segue relação de fornecedores que aceitaram cotar os itens com preços iguais ao adjudicatário:</w:t>
      </w:r>
    </w:p>
    <w:p>
      <w:pPr>
        <w:tabs>
          <w:tab w:val="left" w:pos="1418"/>
        </w:tabs>
        <w:spacing w:line="360" w:lineRule="auto"/>
        <w:ind w:right="-15"/>
        <w:jc w:val="center"/>
        <w:rPr>
          <w:rFonts w:ascii="Times New Roman" w:hAnsi="Times New Roman" w:eastAsia="Times New Roman" w:cs="Times New Roman"/>
          <w:b/>
          <w:i/>
          <w:color w:val="000000"/>
          <w:sz w:val="24"/>
          <w:szCs w:val="24"/>
        </w:rPr>
      </w:pPr>
    </w:p>
    <w:p>
      <w:pPr>
        <w:tabs>
          <w:tab w:val="left" w:pos="1418"/>
        </w:tabs>
        <w:spacing w:line="360" w:lineRule="auto"/>
        <w:ind w:right="-15"/>
        <w:jc w:val="center"/>
        <w:rPr>
          <w:rFonts w:ascii="Times New Roman" w:hAnsi="Times New Roman" w:eastAsia="Times New Roman" w:cs="Times New Roman"/>
          <w:b/>
          <w:i/>
          <w:color w:val="000000"/>
          <w:sz w:val="24"/>
          <w:szCs w:val="24"/>
        </w:rPr>
      </w:pPr>
    </w:p>
    <w:p>
      <w:pPr>
        <w:tabs>
          <w:tab w:val="left" w:pos="1418"/>
        </w:tabs>
        <w:spacing w:line="360" w:lineRule="auto"/>
        <w:ind w:right="-15"/>
        <w:jc w:val="center"/>
        <w:rPr>
          <w:rFonts w:ascii="Times New Roman" w:hAnsi="Times New Roman" w:eastAsia="Times New Roman" w:cs="Times New Roman"/>
          <w:b/>
          <w:i/>
          <w:color w:val="000000"/>
          <w:sz w:val="24"/>
          <w:szCs w:val="24"/>
        </w:rPr>
      </w:pPr>
    </w:p>
    <w:tbl>
      <w:tblPr>
        <w:tblStyle w:val="76"/>
        <w:tblW w:w="8918" w:type="dxa"/>
        <w:tblInd w:w="10" w:type="dxa"/>
        <w:tblLayout w:type="fixed"/>
        <w:tblCellMar>
          <w:top w:w="0" w:type="dxa"/>
          <w:left w:w="10" w:type="dxa"/>
          <w:bottom w:w="0" w:type="dxa"/>
          <w:right w:w="10" w:type="dxa"/>
        </w:tblCellMar>
      </w:tblPr>
      <w:tblGrid>
        <w:gridCol w:w="497"/>
        <w:gridCol w:w="1191"/>
        <w:gridCol w:w="1134"/>
        <w:gridCol w:w="1276"/>
        <w:gridCol w:w="851"/>
        <w:gridCol w:w="992"/>
        <w:gridCol w:w="992"/>
        <w:gridCol w:w="851"/>
        <w:gridCol w:w="1134"/>
      </w:tblGrid>
      <w:tr>
        <w:tblPrEx>
          <w:tblCellMar>
            <w:top w:w="0" w:type="dxa"/>
            <w:left w:w="10" w:type="dxa"/>
            <w:bottom w:w="0" w:type="dxa"/>
            <w:right w:w="10" w:type="dxa"/>
          </w:tblCellMar>
        </w:tblPrEx>
        <w:trPr>
          <w:trHeight w:val="511" w:hRule="atLeast"/>
        </w:trPr>
        <w:tc>
          <w:tcPr>
            <w:tcBorders>
              <w:top w:val="single" w:color="000000" w:sz="4" w:space="0"/>
              <w:left w:val="single" w:color="000000" w:sz="4" w:space="0"/>
              <w:bottom w:val="single" w:color="000000" w:sz="4" w:space="0"/>
              <w:right w:val="single" w:color="000000" w:sz="4" w:space="0"/>
            </w:tcBorders>
            <w:vAlign w:val="center"/>
          </w:tcPr>
          <w:p>
            <w:pPr>
              <w:widowControl w:val="0"/>
              <w:spacing w:line="360" w:lineRule="auto"/>
              <w:ind w:right="-30"/>
              <w:jc w:val="center"/>
              <w:rPr>
                <w:rFonts w:ascii="Times New Roman" w:hAnsi="Times New Roman" w:eastAsia="Times New Roman" w:cs="Times New Roman"/>
                <w:b/>
              </w:rPr>
            </w:pPr>
            <w:r>
              <w:rPr>
                <w:rFonts w:ascii="Times New Roman" w:hAnsi="Times New Roman" w:eastAsia="Times New Roman" w:cs="Times New Roman"/>
                <w:b/>
                <w:rtl w:val="0"/>
              </w:rPr>
              <w:t>Item</w:t>
            </w:r>
          </w:p>
          <w:p>
            <w:pPr>
              <w:widowControl w:val="0"/>
              <w:spacing w:line="360" w:lineRule="auto"/>
              <w:ind w:right="-30"/>
              <w:jc w:val="center"/>
              <w:rPr>
                <w:rFonts w:ascii="Times New Roman" w:hAnsi="Times New Roman" w:eastAsia="Times New Roman" w:cs="Times New Roman"/>
                <w:b/>
              </w:rPr>
            </w:pPr>
            <w:r>
              <w:rPr>
                <w:rFonts w:ascii="Times New Roman" w:hAnsi="Times New Roman" w:eastAsia="Times New Roman" w:cs="Times New Roman"/>
                <w:b/>
                <w:rtl w:val="0"/>
              </w:rPr>
              <w:t>do</w:t>
            </w:r>
          </w:p>
          <w:p>
            <w:pPr>
              <w:widowControl w:val="0"/>
              <w:spacing w:line="360" w:lineRule="auto"/>
              <w:ind w:right="-30"/>
              <w:jc w:val="center"/>
              <w:rPr>
                <w:rFonts w:ascii="Times New Roman" w:hAnsi="Times New Roman" w:eastAsia="Times New Roman" w:cs="Times New Roman"/>
                <w:b/>
              </w:rPr>
            </w:pPr>
            <w:r>
              <w:rPr>
                <w:rFonts w:ascii="Times New Roman" w:hAnsi="Times New Roman" w:eastAsia="Times New Roman" w:cs="Times New Roman"/>
                <w:b/>
                <w:rtl w:val="0"/>
              </w:rPr>
              <w:t>TR</w:t>
            </w:r>
          </w:p>
        </w:tc>
        <w:tc>
          <w:tcPr>
            <w:gridSpan w:val="8"/>
            <w:tcBorders>
              <w:top w:val="single" w:color="000000" w:sz="4" w:space="0"/>
              <w:left w:val="single" w:color="000000" w:sz="4" w:space="0"/>
              <w:bottom w:val="single" w:color="000000" w:sz="4" w:space="0"/>
              <w:right w:val="single" w:color="000000" w:sz="4" w:space="0"/>
            </w:tcBorders>
          </w:tcPr>
          <w:p>
            <w:pPr>
              <w:widowControl w:val="0"/>
              <w:spacing w:line="360" w:lineRule="auto"/>
              <w:ind w:right="-30"/>
              <w:jc w:val="center"/>
              <w:rPr>
                <w:rFonts w:ascii="Times New Roman" w:hAnsi="Times New Roman" w:eastAsia="Times New Roman" w:cs="Times New Roman"/>
                <w:b/>
                <w:i/>
              </w:rPr>
            </w:pPr>
            <w:r>
              <w:rPr>
                <w:rFonts w:ascii="Times New Roman" w:hAnsi="Times New Roman" w:eastAsia="Times New Roman" w:cs="Times New Roman"/>
                <w:b/>
                <w:rtl w:val="0"/>
              </w:rPr>
              <w:t xml:space="preserve">Fornecedor </w:t>
            </w:r>
            <w:r>
              <w:rPr>
                <w:rFonts w:ascii="Times New Roman" w:hAnsi="Times New Roman" w:eastAsia="Times New Roman" w:cs="Times New Roman"/>
                <w:b/>
                <w:i/>
                <w:rtl w:val="0"/>
              </w:rPr>
              <w:t>(razão social, CNPJ/MF, endereço, contatos, representante)</w:t>
            </w:r>
          </w:p>
          <w:p>
            <w:pPr>
              <w:widowControl w:val="0"/>
              <w:spacing w:line="360" w:lineRule="auto"/>
              <w:ind w:right="-30"/>
              <w:jc w:val="center"/>
              <w:rPr>
                <w:rFonts w:ascii="Times New Roman" w:hAnsi="Times New Roman" w:eastAsia="Times New Roman" w:cs="Times New Roman"/>
                <w:b/>
              </w:rPr>
            </w:pPr>
          </w:p>
        </w:tc>
      </w:tr>
      <w:tr>
        <w:tblPrEx>
          <w:tblCellMar>
            <w:top w:w="0" w:type="dxa"/>
            <w:left w:w="10" w:type="dxa"/>
            <w:bottom w:w="0" w:type="dxa"/>
            <w:right w:w="10" w:type="dxa"/>
          </w:tblCellMar>
        </w:tblPrEx>
        <w:trPr>
          <w:trHeight w:val="674" w:hRule="atLeast"/>
        </w:trPr>
        <w:tc>
          <w:tcPr>
            <w:tcBorders>
              <w:top w:val="nil"/>
              <w:left w:val="single" w:color="000000" w:sz="4" w:space="0"/>
              <w:bottom w:val="single" w:color="000000" w:sz="4" w:space="0"/>
              <w:right w:val="nil"/>
            </w:tcBorders>
            <w:vAlign w:val="center"/>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X</w:t>
            </w: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r>
              <w:rPr>
                <w:rFonts w:ascii="Times New Roman" w:hAnsi="Times New Roman" w:eastAsia="Times New Roman" w:cs="Times New Roman"/>
                <w:rtl w:val="0"/>
              </w:rPr>
              <w:t>Especificação</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 xml:space="preserve">Marca </w:t>
            </w:r>
          </w:p>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(se exigida no edital)</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Modelo</w:t>
            </w:r>
          </w:p>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(se exigido no edital)</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Unidade</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Quantidade Máxima</w:t>
            </w:r>
          </w:p>
        </w:tc>
        <w:tc>
          <w:tcPr>
            <w:tcBorders>
              <w:top w:val="nil"/>
              <w:left w:val="single" w:color="000000" w:sz="4" w:space="0"/>
              <w:bottom w:val="single" w:color="000000" w:sz="4" w:space="0"/>
              <w:right w:val="single" w:color="000000" w:sz="4" w:space="0"/>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Quantidade Mínima</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Valor Unitário</w:t>
            </w:r>
          </w:p>
        </w:tc>
        <w:tc>
          <w:tcPr>
            <w:tcBorders>
              <w:top w:val="nil"/>
              <w:left w:val="single" w:color="000000" w:sz="4" w:space="0"/>
              <w:bottom w:val="single" w:color="000000" w:sz="4" w:space="0"/>
              <w:right w:val="single" w:color="000000" w:sz="4" w:space="0"/>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Prazo garantia ou validade</w:t>
            </w:r>
          </w:p>
        </w:tc>
      </w:tr>
      <w:tr>
        <w:tblPrEx>
          <w:tblCellMar>
            <w:top w:w="0" w:type="dxa"/>
            <w:left w:w="10" w:type="dxa"/>
            <w:bottom w:w="0" w:type="dxa"/>
            <w:right w:w="10" w:type="dxa"/>
          </w:tblCellMar>
        </w:tblPrEx>
        <w:trPr>
          <w:trHeight w:val="174" w:hRule="atLeast"/>
        </w:trPr>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single" w:color="000000" w:sz="4" w:space="0"/>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single" w:color="000000" w:sz="4" w:space="0"/>
            </w:tcBorders>
          </w:tcPr>
          <w:p>
            <w:pPr>
              <w:widowControl w:val="0"/>
              <w:spacing w:line="360" w:lineRule="auto"/>
              <w:ind w:right="-30"/>
              <w:jc w:val="both"/>
              <w:rPr>
                <w:rFonts w:ascii="Times New Roman" w:hAnsi="Times New Roman" w:eastAsia="Times New Roman" w:cs="Times New Roman"/>
              </w:rPr>
            </w:pPr>
          </w:p>
        </w:tc>
      </w:tr>
    </w:tbl>
    <w:p>
      <w:pPr>
        <w:tabs>
          <w:tab w:val="left" w:pos="1418"/>
        </w:tabs>
        <w:spacing w:line="360" w:lineRule="auto"/>
        <w:ind w:right="-15"/>
        <w:jc w:val="center"/>
        <w:rPr>
          <w:rFonts w:ascii="Times New Roman" w:hAnsi="Times New Roman" w:eastAsia="Times New Roman" w:cs="Times New Roman"/>
          <w:b/>
          <w:i/>
          <w:color w:val="000000"/>
          <w:sz w:val="24"/>
          <w:szCs w:val="24"/>
        </w:rPr>
      </w:pPr>
    </w:p>
    <w:p>
      <w:pPr>
        <w:tabs>
          <w:tab w:val="left" w:pos="1418"/>
        </w:tabs>
        <w:spacing w:line="360" w:lineRule="auto"/>
        <w:ind w:right="-15"/>
        <w:jc w:val="center"/>
        <w:rPr>
          <w:rFonts w:ascii="Times New Roman" w:hAnsi="Times New Roman" w:eastAsia="Times New Roman" w:cs="Times New Roman"/>
          <w:b/>
          <w:i/>
          <w:color w:val="000000"/>
          <w:sz w:val="24"/>
          <w:szCs w:val="24"/>
        </w:rPr>
      </w:pPr>
    </w:p>
    <w:p>
      <w:pPr>
        <w:tabs>
          <w:tab w:val="left" w:pos="1418"/>
        </w:tabs>
        <w:spacing w:line="360" w:lineRule="auto"/>
        <w:ind w:right="-15"/>
        <w:jc w:val="center"/>
        <w:rPr>
          <w:rFonts w:ascii="Times New Roman" w:hAnsi="Times New Roman" w:eastAsia="Times New Roman" w:cs="Times New Roman"/>
          <w:b/>
          <w:i/>
          <w:color w:val="000000"/>
          <w:sz w:val="24"/>
          <w:szCs w:val="24"/>
        </w:rPr>
      </w:pPr>
    </w:p>
    <w:p>
      <w:pPr>
        <w:tabs>
          <w:tab w:val="left" w:pos="1418"/>
        </w:tabs>
        <w:spacing w:line="360" w:lineRule="auto"/>
        <w:ind w:right="-15"/>
        <w:jc w:val="center"/>
        <w:rPr>
          <w:rFonts w:ascii="Times New Roman" w:hAnsi="Times New Roman" w:eastAsia="Times New Roman" w:cs="Times New Roman"/>
          <w:b/>
          <w:i/>
          <w:color w:val="000000"/>
          <w:sz w:val="24"/>
          <w:szCs w:val="24"/>
        </w:rPr>
      </w:pPr>
      <w:r>
        <w:rPr>
          <w:rFonts w:ascii="Times New Roman" w:hAnsi="Times New Roman" w:eastAsia="Times New Roman" w:cs="Times New Roman"/>
          <w:b/>
          <w:i/>
          <w:color w:val="000000"/>
          <w:sz w:val="24"/>
          <w:szCs w:val="24"/>
          <w:rtl w:val="0"/>
        </w:rPr>
        <w:t>Seguindo a ordem de classificação, segue relação de fornecedores que mantiveram sua proposta original:</w:t>
      </w:r>
    </w:p>
    <w:p>
      <w:pPr>
        <w:tabs>
          <w:tab w:val="left" w:pos="1418"/>
        </w:tabs>
        <w:spacing w:line="360" w:lineRule="auto"/>
        <w:ind w:right="-15"/>
        <w:jc w:val="center"/>
        <w:rPr>
          <w:rFonts w:ascii="Times New Roman" w:hAnsi="Times New Roman" w:eastAsia="Times New Roman" w:cs="Times New Roman"/>
          <w:b/>
          <w:i/>
          <w:sz w:val="24"/>
          <w:szCs w:val="24"/>
          <w:highlight w:val="white"/>
        </w:rPr>
      </w:pPr>
    </w:p>
    <w:p>
      <w:pPr>
        <w:tabs>
          <w:tab w:val="left" w:pos="1418"/>
        </w:tabs>
        <w:spacing w:line="360" w:lineRule="auto"/>
        <w:ind w:right="-15"/>
        <w:jc w:val="center"/>
        <w:rPr>
          <w:rFonts w:ascii="Times New Roman" w:hAnsi="Times New Roman" w:eastAsia="Times New Roman" w:cs="Times New Roman"/>
          <w:b/>
          <w:i/>
          <w:sz w:val="24"/>
          <w:szCs w:val="24"/>
          <w:highlight w:val="white"/>
        </w:rPr>
      </w:pPr>
    </w:p>
    <w:p>
      <w:pPr>
        <w:tabs>
          <w:tab w:val="left" w:pos="1418"/>
        </w:tabs>
        <w:spacing w:line="360" w:lineRule="auto"/>
        <w:ind w:right="-15"/>
        <w:jc w:val="center"/>
        <w:rPr>
          <w:rFonts w:ascii="Times New Roman" w:hAnsi="Times New Roman" w:eastAsia="Times New Roman" w:cs="Times New Roman"/>
          <w:b/>
          <w:i/>
          <w:sz w:val="24"/>
          <w:szCs w:val="24"/>
          <w:highlight w:val="white"/>
        </w:rPr>
      </w:pPr>
    </w:p>
    <w:tbl>
      <w:tblPr>
        <w:tblStyle w:val="77"/>
        <w:tblW w:w="8918" w:type="dxa"/>
        <w:tblInd w:w="10" w:type="dxa"/>
        <w:tblLayout w:type="fixed"/>
        <w:tblCellMar>
          <w:top w:w="0" w:type="dxa"/>
          <w:left w:w="10" w:type="dxa"/>
          <w:bottom w:w="0" w:type="dxa"/>
          <w:right w:w="10" w:type="dxa"/>
        </w:tblCellMar>
      </w:tblPr>
      <w:tblGrid>
        <w:gridCol w:w="497"/>
        <w:gridCol w:w="1191"/>
        <w:gridCol w:w="1134"/>
        <w:gridCol w:w="1276"/>
        <w:gridCol w:w="851"/>
        <w:gridCol w:w="992"/>
        <w:gridCol w:w="992"/>
        <w:gridCol w:w="851"/>
        <w:gridCol w:w="1134"/>
      </w:tblGrid>
      <w:tr>
        <w:tblPrEx>
          <w:tblCellMar>
            <w:top w:w="0" w:type="dxa"/>
            <w:left w:w="10" w:type="dxa"/>
            <w:bottom w:w="0" w:type="dxa"/>
            <w:right w:w="10" w:type="dxa"/>
          </w:tblCellMar>
        </w:tblPrEx>
        <w:trPr>
          <w:trHeight w:val="511" w:hRule="atLeast"/>
        </w:trPr>
        <w:tc>
          <w:tcPr>
            <w:tcBorders>
              <w:top w:val="single" w:color="000000" w:sz="4" w:space="0"/>
              <w:left w:val="single" w:color="000000" w:sz="4" w:space="0"/>
              <w:bottom w:val="single" w:color="000000" w:sz="4" w:space="0"/>
              <w:right w:val="single" w:color="000000" w:sz="4" w:space="0"/>
            </w:tcBorders>
            <w:vAlign w:val="center"/>
          </w:tcPr>
          <w:p>
            <w:pPr>
              <w:widowControl w:val="0"/>
              <w:spacing w:line="360" w:lineRule="auto"/>
              <w:ind w:right="-30"/>
              <w:jc w:val="center"/>
              <w:rPr>
                <w:rFonts w:ascii="Times New Roman" w:hAnsi="Times New Roman" w:eastAsia="Times New Roman" w:cs="Times New Roman"/>
                <w:b/>
              </w:rPr>
            </w:pPr>
            <w:r>
              <w:rPr>
                <w:rFonts w:ascii="Times New Roman" w:hAnsi="Times New Roman" w:eastAsia="Times New Roman" w:cs="Times New Roman"/>
                <w:b/>
                <w:rtl w:val="0"/>
              </w:rPr>
              <w:t>Item</w:t>
            </w:r>
          </w:p>
          <w:p>
            <w:pPr>
              <w:widowControl w:val="0"/>
              <w:spacing w:line="360" w:lineRule="auto"/>
              <w:ind w:right="-30"/>
              <w:jc w:val="center"/>
              <w:rPr>
                <w:rFonts w:ascii="Times New Roman" w:hAnsi="Times New Roman" w:eastAsia="Times New Roman" w:cs="Times New Roman"/>
                <w:b/>
              </w:rPr>
            </w:pPr>
            <w:r>
              <w:rPr>
                <w:rFonts w:ascii="Times New Roman" w:hAnsi="Times New Roman" w:eastAsia="Times New Roman" w:cs="Times New Roman"/>
                <w:b/>
                <w:rtl w:val="0"/>
              </w:rPr>
              <w:t>do</w:t>
            </w:r>
          </w:p>
          <w:p>
            <w:pPr>
              <w:widowControl w:val="0"/>
              <w:spacing w:line="360" w:lineRule="auto"/>
              <w:ind w:right="-30"/>
              <w:jc w:val="center"/>
              <w:rPr>
                <w:rFonts w:ascii="Times New Roman" w:hAnsi="Times New Roman" w:eastAsia="Times New Roman" w:cs="Times New Roman"/>
                <w:b/>
              </w:rPr>
            </w:pPr>
            <w:r>
              <w:rPr>
                <w:rFonts w:ascii="Times New Roman" w:hAnsi="Times New Roman" w:eastAsia="Times New Roman" w:cs="Times New Roman"/>
                <w:b/>
                <w:rtl w:val="0"/>
              </w:rPr>
              <w:t>TR</w:t>
            </w:r>
          </w:p>
        </w:tc>
        <w:tc>
          <w:tcPr>
            <w:gridSpan w:val="8"/>
            <w:tcBorders>
              <w:top w:val="single" w:color="000000" w:sz="4" w:space="0"/>
              <w:left w:val="single" w:color="000000" w:sz="4" w:space="0"/>
              <w:bottom w:val="single" w:color="000000" w:sz="4" w:space="0"/>
              <w:right w:val="single" w:color="000000" w:sz="4" w:space="0"/>
            </w:tcBorders>
          </w:tcPr>
          <w:p>
            <w:pPr>
              <w:widowControl w:val="0"/>
              <w:spacing w:line="360" w:lineRule="auto"/>
              <w:ind w:right="-30"/>
              <w:jc w:val="center"/>
              <w:rPr>
                <w:rFonts w:ascii="Times New Roman" w:hAnsi="Times New Roman" w:eastAsia="Times New Roman" w:cs="Times New Roman"/>
                <w:b/>
                <w:i/>
              </w:rPr>
            </w:pPr>
            <w:r>
              <w:rPr>
                <w:rFonts w:ascii="Times New Roman" w:hAnsi="Times New Roman" w:eastAsia="Times New Roman" w:cs="Times New Roman"/>
                <w:b/>
                <w:rtl w:val="0"/>
              </w:rPr>
              <w:t xml:space="preserve">Fornecedor </w:t>
            </w:r>
            <w:r>
              <w:rPr>
                <w:rFonts w:ascii="Times New Roman" w:hAnsi="Times New Roman" w:eastAsia="Times New Roman" w:cs="Times New Roman"/>
                <w:b/>
                <w:i/>
                <w:rtl w:val="0"/>
              </w:rPr>
              <w:t>(razão social, CNPJ/MF, endereço, contatos, representante)</w:t>
            </w:r>
          </w:p>
          <w:p>
            <w:pPr>
              <w:widowControl w:val="0"/>
              <w:spacing w:line="360" w:lineRule="auto"/>
              <w:ind w:right="-30"/>
              <w:jc w:val="center"/>
              <w:rPr>
                <w:rFonts w:ascii="Times New Roman" w:hAnsi="Times New Roman" w:eastAsia="Times New Roman" w:cs="Times New Roman"/>
                <w:b/>
              </w:rPr>
            </w:pPr>
          </w:p>
        </w:tc>
      </w:tr>
      <w:tr>
        <w:tblPrEx>
          <w:tblCellMar>
            <w:top w:w="0" w:type="dxa"/>
            <w:left w:w="10" w:type="dxa"/>
            <w:bottom w:w="0" w:type="dxa"/>
            <w:right w:w="10" w:type="dxa"/>
          </w:tblCellMar>
        </w:tblPrEx>
        <w:trPr>
          <w:trHeight w:val="674" w:hRule="atLeast"/>
        </w:trPr>
        <w:tc>
          <w:tcPr>
            <w:tcBorders>
              <w:top w:val="nil"/>
              <w:left w:val="single" w:color="000000" w:sz="4" w:space="0"/>
              <w:bottom w:val="single" w:color="000000" w:sz="4" w:space="0"/>
              <w:right w:val="nil"/>
            </w:tcBorders>
            <w:vAlign w:val="center"/>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X</w:t>
            </w: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r>
              <w:rPr>
                <w:rFonts w:ascii="Times New Roman" w:hAnsi="Times New Roman" w:eastAsia="Times New Roman" w:cs="Times New Roman"/>
                <w:rtl w:val="0"/>
              </w:rPr>
              <w:t>Especificação</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 xml:space="preserve">Marca </w:t>
            </w:r>
          </w:p>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(se exigida no edital)</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Modelo</w:t>
            </w:r>
          </w:p>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(se exigido no edital)</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Unidade</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Quantidade Máxima</w:t>
            </w:r>
          </w:p>
        </w:tc>
        <w:tc>
          <w:tcPr>
            <w:tcBorders>
              <w:top w:val="nil"/>
              <w:left w:val="single" w:color="000000" w:sz="4" w:space="0"/>
              <w:bottom w:val="single" w:color="000000" w:sz="4" w:space="0"/>
              <w:right w:val="single" w:color="000000" w:sz="4" w:space="0"/>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Quantidade Mínima</w:t>
            </w:r>
          </w:p>
        </w:tc>
        <w:tc>
          <w:tcPr>
            <w:tcBorders>
              <w:top w:val="nil"/>
              <w:left w:val="single" w:color="000000" w:sz="4" w:space="0"/>
              <w:bottom w:val="single" w:color="000000" w:sz="4" w:space="0"/>
              <w:right w:val="nil"/>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Valor Unitário</w:t>
            </w:r>
          </w:p>
        </w:tc>
        <w:tc>
          <w:tcPr>
            <w:tcBorders>
              <w:top w:val="nil"/>
              <w:left w:val="single" w:color="000000" w:sz="4" w:space="0"/>
              <w:bottom w:val="single" w:color="000000" w:sz="4" w:space="0"/>
              <w:right w:val="single" w:color="000000" w:sz="4" w:space="0"/>
            </w:tcBorders>
          </w:tcPr>
          <w:p>
            <w:pPr>
              <w:widowControl w:val="0"/>
              <w:spacing w:line="360" w:lineRule="auto"/>
              <w:ind w:right="-30"/>
              <w:jc w:val="center"/>
              <w:rPr>
                <w:rFonts w:ascii="Times New Roman" w:hAnsi="Times New Roman" w:eastAsia="Times New Roman" w:cs="Times New Roman"/>
              </w:rPr>
            </w:pPr>
            <w:r>
              <w:rPr>
                <w:rFonts w:ascii="Times New Roman" w:hAnsi="Times New Roman" w:eastAsia="Times New Roman" w:cs="Times New Roman"/>
                <w:rtl w:val="0"/>
              </w:rPr>
              <w:t>Prazo garantia ou validade</w:t>
            </w:r>
          </w:p>
        </w:tc>
      </w:tr>
      <w:tr>
        <w:tblPrEx>
          <w:tblCellMar>
            <w:top w:w="0" w:type="dxa"/>
            <w:left w:w="10" w:type="dxa"/>
            <w:bottom w:w="0" w:type="dxa"/>
            <w:right w:w="10" w:type="dxa"/>
          </w:tblCellMar>
        </w:tblPrEx>
        <w:trPr>
          <w:trHeight w:val="174" w:hRule="atLeast"/>
        </w:trPr>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single" w:color="000000" w:sz="4" w:space="0"/>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nil"/>
            </w:tcBorders>
          </w:tcPr>
          <w:p>
            <w:pPr>
              <w:widowControl w:val="0"/>
              <w:spacing w:line="360" w:lineRule="auto"/>
              <w:ind w:right="-30"/>
              <w:jc w:val="both"/>
              <w:rPr>
                <w:rFonts w:ascii="Times New Roman" w:hAnsi="Times New Roman" w:eastAsia="Times New Roman" w:cs="Times New Roman"/>
              </w:rPr>
            </w:pPr>
          </w:p>
        </w:tc>
        <w:tc>
          <w:tcPr>
            <w:tcBorders>
              <w:top w:val="nil"/>
              <w:left w:val="single" w:color="000000" w:sz="4" w:space="0"/>
              <w:bottom w:val="single" w:color="000000" w:sz="4" w:space="0"/>
              <w:right w:val="single" w:color="000000" w:sz="4" w:space="0"/>
            </w:tcBorders>
          </w:tcPr>
          <w:p>
            <w:pPr>
              <w:widowControl w:val="0"/>
              <w:spacing w:line="360" w:lineRule="auto"/>
              <w:ind w:right="-30"/>
              <w:jc w:val="both"/>
              <w:rPr>
                <w:rFonts w:ascii="Times New Roman" w:hAnsi="Times New Roman" w:eastAsia="Times New Roman" w:cs="Times New Roman"/>
              </w:rPr>
            </w:pPr>
          </w:p>
        </w:tc>
      </w:tr>
    </w:tbl>
    <w:p>
      <w:pPr>
        <w:tabs>
          <w:tab w:val="left" w:pos="1418"/>
        </w:tabs>
        <w:spacing w:line="360" w:lineRule="auto"/>
        <w:ind w:right="-15"/>
        <w:rPr>
          <w:rFonts w:ascii="Times New Roman" w:hAnsi="Times New Roman" w:eastAsia="Times New Roman" w:cs="Times New Roman"/>
          <w:b/>
          <w:i/>
          <w:sz w:val="24"/>
          <w:szCs w:val="24"/>
          <w:highlight w:val="white"/>
        </w:rPr>
      </w:pPr>
    </w:p>
    <w:sectPr>
      <w:headerReference r:id="rId4" w:type="first"/>
      <w:headerReference r:id="rId3" w:type="default"/>
      <w:footerReference r:id="rId5" w:type="default"/>
      <w:pgSz w:w="11906" w:h="16838"/>
      <w:pgMar w:top="1418" w:right="1274" w:bottom="1702" w:left="1700" w:header="709" w:footer="832"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Georgia">
    <w:panose1 w:val="02040502050405020303"/>
    <w:charset w:val="00"/>
    <w:family w:val="auto"/>
    <w:pitch w:val="default"/>
    <w:sig w:usb0="00000287" w:usb1="00000000" w:usb2="00000000" w:usb3="00000000" w:csb0="2000009F" w:csb1="00000000"/>
  </w:font>
  <w:font w:name="Ecofont_Spranq_eco_Sans">
    <w:altName w:val="Segoe Print"/>
    <w:panose1 w:val="00000000000000000000"/>
    <w:charset w:val="00"/>
    <w:family w:val="auto"/>
    <w:pitch w:val="default"/>
    <w:sig w:usb0="00000000" w:usb1="00000000" w:usb2="00000000" w:usb3="00000000" w:csb0="00000000" w:csb1="00000000"/>
  </w:font>
  <w:font w:name="WenQuanYi Micro Hei">
    <w:altName w:val="Segoe Print"/>
    <w:panose1 w:val="00000000000000000000"/>
    <w:charset w:val="00"/>
    <w:family w:val="auto"/>
    <w:pitch w:val="default"/>
    <w:sig w:usb0="00000000" w:usb1="00000000" w:usb2="00000000" w:usb3="00000000" w:csb0="00000000" w:csb1="00000000"/>
  </w:font>
  <w:font w:name="Lohit Hindi">
    <w:altName w:val="Segoe Print"/>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252"/>
        <w:tab w:val="right" w:pos="8504"/>
      </w:tabs>
      <w:spacing w:before="0" w:after="0" w:line="240" w:lineRule="auto"/>
      <w:ind w:left="0" w:right="0" w:firstLine="0"/>
      <w:jc w:val="left"/>
      <w:rPr>
        <w:rFonts w:ascii="Times New Roman" w:hAnsi="Times New Roman" w:eastAsia="Times New Roman" w:cs="Times New Roman"/>
        <w:b w:val="0"/>
        <w:i w:val="0"/>
        <w:smallCaps w:val="0"/>
        <w:strike w:val="0"/>
        <w:color w:val="000000"/>
        <w:sz w:val="20"/>
        <w:szCs w:val="20"/>
        <w:u w:val="none"/>
        <w:shd w:val="clear" w:fill="auto"/>
        <w:vertAlign w:val="baseline"/>
      </w:rPr>
    </w:pPr>
    <w:r>
      <w:rPr>
        <w:rFonts w:ascii="Times New Roman" w:hAnsi="Times New Roman" w:eastAsia="Times New Roman" w:cs="Times New Roman"/>
        <w:b w:val="0"/>
        <w:i w:val="0"/>
        <w:smallCaps w:val="0"/>
        <w:strike w:val="0"/>
        <w:color w:val="000000"/>
        <w:sz w:val="20"/>
        <w:szCs w:val="20"/>
        <w:u w:val="none"/>
        <w:shd w:val="clear" w:fill="auto"/>
        <w:vertAlign w:val="baseline"/>
        <w:rtl w:val="0"/>
      </w:rPr>
      <w:t>____________________________________________________________________</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252"/>
        <w:tab w:val="right" w:pos="8504"/>
      </w:tabs>
      <w:spacing w:before="0" w:after="0" w:line="240" w:lineRule="auto"/>
      <w:ind w:left="0" w:right="0" w:firstLine="0"/>
      <w:jc w:val="left"/>
      <w:rPr>
        <w:rFonts w:ascii="Times New Roman" w:hAnsi="Times New Roman" w:eastAsia="Times New Roman" w:cs="Times New Roman"/>
        <w:b w:val="0"/>
        <w:i w:val="0"/>
        <w:smallCaps w:val="0"/>
        <w:strike w:val="0"/>
        <w:color w:val="000000"/>
        <w:sz w:val="16"/>
        <w:szCs w:val="16"/>
        <w:u w:val="none"/>
        <w:shd w:val="clear" w:fill="auto"/>
        <w:vertAlign w:val="baseline"/>
      </w:rPr>
    </w:pPr>
    <w:r>
      <w:rPr>
        <w:rFonts w:ascii="Times New Roman" w:hAnsi="Times New Roman" w:eastAsia="Times New Roman" w:cs="Times New Roman"/>
        <w:b w:val="0"/>
        <w:i w:val="0"/>
        <w:smallCaps w:val="0"/>
        <w:strike w:val="0"/>
        <w:color w:val="000000"/>
        <w:sz w:val="16"/>
        <w:szCs w:val="16"/>
        <w:u w:val="none"/>
        <w:shd w:val="clear" w:fill="auto"/>
        <w:vertAlign w:val="baseline"/>
        <w:rtl w:val="0"/>
      </w:rPr>
      <w:t>Câmara Nacional de Modelos de Licitações e Contratos da Consultoria-Geral da União</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252"/>
        <w:tab w:val="right" w:pos="8504"/>
      </w:tabs>
      <w:spacing w:before="0" w:after="0" w:line="240" w:lineRule="auto"/>
      <w:ind w:left="0" w:right="0" w:firstLine="0"/>
      <w:jc w:val="left"/>
      <w:rPr>
        <w:rFonts w:ascii="Times New Roman" w:hAnsi="Times New Roman" w:eastAsia="Times New Roman" w:cs="Times New Roman"/>
        <w:b w:val="0"/>
        <w:i w:val="0"/>
        <w:smallCaps w:val="0"/>
        <w:strike w:val="0"/>
        <w:color w:val="000000"/>
        <w:sz w:val="16"/>
        <w:szCs w:val="16"/>
        <w:u w:val="none"/>
        <w:shd w:val="clear" w:fill="auto"/>
        <w:vertAlign w:val="baseline"/>
      </w:rPr>
    </w:pPr>
    <w:r>
      <w:rPr>
        <w:rFonts w:ascii="Times New Roman" w:hAnsi="Times New Roman" w:eastAsia="Times New Roman" w:cs="Times New Roman"/>
        <w:b w:val="0"/>
        <w:i w:val="0"/>
        <w:smallCaps w:val="0"/>
        <w:strike w:val="0"/>
        <w:color w:val="000000"/>
        <w:sz w:val="16"/>
        <w:szCs w:val="16"/>
        <w:u w:val="none"/>
        <w:shd w:val="clear" w:fill="auto"/>
        <w:vertAlign w:val="baseline"/>
        <w:rtl w:val="0"/>
      </w:rPr>
      <w:t>Atualização: maio/2023</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252"/>
        <w:tab w:val="right" w:pos="8504"/>
      </w:tabs>
      <w:spacing w:before="0" w:after="0" w:line="240" w:lineRule="auto"/>
      <w:ind w:left="0" w:right="0" w:firstLine="0"/>
      <w:jc w:val="left"/>
      <w:rPr>
        <w:rFonts w:ascii="Times New Roman" w:hAnsi="Times New Roman" w:eastAsia="Times New Roman" w:cs="Times New Roman"/>
        <w:b w:val="0"/>
        <w:i w:val="0"/>
        <w:smallCaps w:val="0"/>
        <w:strike w:val="0"/>
        <w:color w:val="000000"/>
        <w:sz w:val="16"/>
        <w:szCs w:val="16"/>
        <w:u w:val="none"/>
        <w:shd w:val="clear" w:fill="auto"/>
        <w:vertAlign w:val="baseline"/>
      </w:rPr>
    </w:pPr>
    <w:r>
      <w:rPr>
        <w:rFonts w:ascii="Times New Roman" w:hAnsi="Times New Roman" w:eastAsia="Times New Roman" w:cs="Times New Roman"/>
        <w:b w:val="0"/>
        <w:i w:val="0"/>
        <w:smallCaps w:val="0"/>
        <w:strike w:val="0"/>
        <w:color w:val="000000"/>
        <w:sz w:val="16"/>
        <w:szCs w:val="16"/>
        <w:u w:val="none"/>
        <w:shd w:val="clear" w:fill="auto"/>
        <w:vertAlign w:val="baseline"/>
        <w:rtl w:val="0"/>
      </w:rPr>
      <w:t>Ata de Registro de Preços –  Lei nº 14.133, de 2021.</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252"/>
        <w:tab w:val="right" w:pos="8504"/>
      </w:tabs>
      <w:spacing w:before="0" w:after="0" w:line="240" w:lineRule="auto"/>
      <w:ind w:left="0" w:right="0" w:firstLine="0"/>
      <w:jc w:val="left"/>
      <w:rPr>
        <w:rFonts w:ascii="Times New Roman" w:hAnsi="Times New Roman" w:eastAsia="Times New Roman" w:cs="Times New Roman"/>
        <w:b w:val="0"/>
        <w:i w:val="0"/>
        <w:smallCaps w:val="0"/>
        <w:strike w:val="0"/>
        <w:color w:val="000000"/>
        <w:sz w:val="16"/>
        <w:szCs w:val="16"/>
        <w:u w:val="none"/>
        <w:shd w:val="clear" w:fill="auto"/>
        <w:vertAlign w:val="baseline"/>
      </w:rPr>
    </w:pPr>
    <w:r>
      <w:rPr>
        <w:rFonts w:ascii="Times New Roman" w:hAnsi="Times New Roman" w:eastAsia="Times New Roman" w:cs="Times New Roman"/>
        <w:b w:val="0"/>
        <w:i w:val="0"/>
        <w:smallCaps w:val="0"/>
        <w:strike w:val="0"/>
        <w:color w:val="000000"/>
        <w:sz w:val="16"/>
        <w:szCs w:val="16"/>
        <w:u w:val="none"/>
        <w:shd w:val="clear" w:fill="auto"/>
        <w:vertAlign w:val="baseline"/>
        <w:rtl w:val="0"/>
      </w:rPr>
      <w:t>Aprovado pela Secretaria de Gestão e Inovação.</w:t>
    </w:r>
  </w:p>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252"/>
        <w:tab w:val="right" w:pos="8504"/>
      </w:tabs>
      <w:spacing w:before="0" w:after="0" w:line="240" w:lineRule="auto"/>
      <w:ind w:left="0" w:right="0" w:firstLine="0"/>
      <w:jc w:val="left"/>
      <w:rPr>
        <w:rFonts w:ascii="Times New Roman" w:hAnsi="Times New Roman" w:eastAsia="Times New Roman" w:cs="Times New Roman"/>
        <w:b w:val="0"/>
        <w:i w:val="0"/>
        <w:smallCaps w:val="0"/>
        <w:strike w:val="0"/>
        <w:color w:val="000000"/>
        <w:sz w:val="16"/>
        <w:szCs w:val="16"/>
        <w:u w:val="none"/>
        <w:shd w:val="clear" w:fill="auto"/>
        <w:vertAlign w:val="baseline"/>
      </w:rPr>
    </w:pPr>
    <w:r>
      <w:rPr>
        <w:rFonts w:ascii="Times New Roman" w:hAnsi="Times New Roman" w:eastAsia="Times New Roman" w:cs="Times New Roman"/>
        <w:b w:val="0"/>
        <w:i w:val="0"/>
        <w:smallCaps w:val="0"/>
        <w:strike w:val="0"/>
        <w:color w:val="000000"/>
        <w:sz w:val="16"/>
        <w:szCs w:val="16"/>
        <w:u w:val="none"/>
        <w:shd w:val="clear" w:fill="auto"/>
        <w:vertAlign w:val="baseline"/>
        <w:rtl w:val="0"/>
      </w:rPr>
      <w:t>Identidade visual pela Secretaria de Gestão e Inovação.</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single" w:color="000000" w:sz="4" w:space="1"/>
        <w:right w:val="none" w:color="000000" w:sz="0" w:space="0"/>
        <w:between w:val="none" w:color="000000" w:sz="0" w:space="0"/>
      </w:pBdr>
      <w:tabs>
        <w:tab w:val="center" w:pos="4252"/>
        <w:tab w:val="right" w:pos="8504"/>
        <w:tab w:val="right" w:pos="8789"/>
      </w:tabs>
    </w:pPr>
    <w:r>
      <w:rPr>
        <w:rFonts w:ascii="Times New Roman" w:hAnsi="Times New Roman" w:eastAsia="Times New Roman" w:cs="Times New Roman"/>
        <w:b/>
        <w:i/>
        <w:rtl w:val="0"/>
      </w:rPr>
      <w:t xml:space="preserve">Ata de Registro de Preços UFPB/SOF/CLC Nº </w:t>
    </w:r>
    <w:r>
      <w:rPr>
        <w:rFonts w:ascii="Times New Roman" w:hAnsi="Times New Roman" w:eastAsia="Times New Roman" w:cs="Times New Roman"/>
        <w:b/>
        <w:i/>
        <w:highlight w:val="yellow"/>
        <w:rtl w:val="0"/>
      </w:rPr>
      <w:t>00</w:t>
    </w:r>
    <w:r>
      <w:rPr>
        <w:rFonts w:hint="default" w:ascii="Times New Roman" w:hAnsi="Times New Roman" w:eastAsia="Times New Roman" w:cs="Times New Roman"/>
        <w:b/>
        <w:i/>
        <w:highlight w:val="yellow"/>
        <w:rtl w:val="0"/>
        <w:lang w:val="pt-BR"/>
      </w:rPr>
      <w:t>8</w:t>
    </w:r>
    <w:r>
      <w:rPr>
        <w:rFonts w:ascii="Times New Roman" w:hAnsi="Times New Roman" w:eastAsia="Times New Roman" w:cs="Times New Roman"/>
        <w:b/>
        <w:i/>
        <w:highlight w:val="yellow"/>
        <w:rtl w:val="0"/>
      </w:rPr>
      <w:t>/2023</w:t>
    </w:r>
    <w:r>
      <w:rPr>
        <w:rFonts w:ascii="Times New Roman" w:hAnsi="Times New Roman" w:eastAsia="Times New Roman" w:cs="Times New Roman"/>
        <w:b/>
        <w:i/>
        <w:rtl w:val="0"/>
      </w:rPr>
      <w:tab/>
    </w:r>
    <w:r>
      <w:rPr>
        <w:rFonts w:ascii="Times New Roman" w:hAnsi="Times New Roman" w:eastAsia="Times New Roman" w:cs="Times New Roman"/>
        <w:b/>
        <w:i/>
        <w:rtl w:val="0"/>
      </w:rPr>
      <w:t xml:space="preserve">Página </w:t>
    </w:r>
    <w:r>
      <w:rPr>
        <w:rFonts w:ascii="Times New Roman" w:hAnsi="Times New Roman" w:eastAsia="Times New Roman" w:cs="Times New Roman"/>
        <w:b/>
        <w:i/>
      </w:rPr>
      <w:fldChar w:fldCharType="begin"/>
    </w:r>
    <w:r>
      <w:rPr>
        <w:rFonts w:ascii="Times New Roman" w:hAnsi="Times New Roman" w:eastAsia="Times New Roman" w:cs="Times New Roman"/>
        <w:b/>
        <w:i/>
      </w:rPr>
      <w:instrText xml:space="preserve">PAGE</w:instrText>
    </w:r>
    <w:r>
      <w:rPr>
        <w:rFonts w:ascii="Times New Roman" w:hAnsi="Times New Roman" w:eastAsia="Times New Roman" w:cs="Times New Roman"/>
        <w:b/>
        <w:i/>
      </w:rPr>
      <w:fldChar w:fldCharType="separate"/>
    </w:r>
    <w:r>
      <w:rPr>
        <w:rFonts w:ascii="Times New Roman" w:hAnsi="Times New Roman" w:eastAsia="Times New Roman" w:cs="Times New Roman"/>
        <w:b/>
        <w:i/>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single" w:color="000000" w:sz="4" w:space="1"/>
        <w:right w:val="none" w:color="000000" w:sz="0" w:space="0"/>
        <w:between w:val="none" w:color="000000" w:sz="0" w:space="0"/>
      </w:pBdr>
      <w:tabs>
        <w:tab w:val="center" w:pos="4252"/>
        <w:tab w:val="right" w:pos="8504"/>
        <w:tab w:val="right" w:pos="8789"/>
      </w:tabs>
    </w:pPr>
    <w:r>
      <w:rPr>
        <w:rFonts w:ascii="Times New Roman" w:hAnsi="Times New Roman" w:eastAsia="Times New Roman" w:cs="Times New Roman"/>
        <w:b/>
        <w:i/>
        <w:rtl w:val="0"/>
      </w:rPr>
      <w:t xml:space="preserve">Pregão Eletrônico UFPB/SOF/CLC Nº </w:t>
    </w:r>
    <w:r>
      <w:rPr>
        <w:rFonts w:ascii="Times New Roman" w:hAnsi="Times New Roman" w:eastAsia="Times New Roman" w:cs="Times New Roman"/>
        <w:b/>
        <w:i/>
        <w:highlight w:val="yellow"/>
        <w:rtl w:val="0"/>
      </w:rPr>
      <w:t>XXX/2023</w:t>
    </w:r>
    <w:r>
      <w:rPr>
        <w:rFonts w:ascii="Times New Roman" w:hAnsi="Times New Roman" w:eastAsia="Times New Roman" w:cs="Times New Roman"/>
        <w:b/>
        <w:i/>
        <w:rtl w:val="0"/>
      </w:rPr>
      <w:tab/>
    </w:r>
    <w:r>
      <w:rPr>
        <w:rFonts w:ascii="Times New Roman" w:hAnsi="Times New Roman" w:eastAsia="Times New Roman" w:cs="Times New Roman"/>
        <w:b/>
        <w:i/>
        <w:rtl w:val="0"/>
      </w:rPr>
      <w:tab/>
    </w:r>
    <w:r>
      <w:rPr>
        <w:rFonts w:ascii="Times New Roman" w:hAnsi="Times New Roman" w:eastAsia="Times New Roman" w:cs="Times New Roman"/>
        <w:b/>
        <w:i/>
        <w:rtl w:val="0"/>
      </w:rPr>
      <w:t xml:space="preserve">Página </w:t>
    </w:r>
    <w:r>
      <w:rPr>
        <w:rFonts w:ascii="Times New Roman" w:hAnsi="Times New Roman" w:eastAsia="Times New Roman" w:cs="Times New Roman"/>
        <w:b/>
        <w:i/>
      </w:rPr>
      <w:fldChar w:fldCharType="begin"/>
    </w:r>
    <w:r>
      <w:rPr>
        <w:rFonts w:ascii="Times New Roman" w:hAnsi="Times New Roman" w:eastAsia="Times New Roman" w:cs="Times New Roman"/>
        <w:b/>
        <w:i/>
      </w:rPr>
      <w:instrText xml:space="preserve">PAGE</w:instrText>
    </w:r>
    <w:r>
      <w:rPr>
        <w:rFonts w:ascii="Times New Roman" w:hAnsi="Times New Roman" w:eastAsia="Times New Roman" w:cs="Times New Roman"/>
        <w:b/>
        <w:i/>
      </w:rPr>
      <w:fldChar w:fldCharType="separate"/>
    </w:r>
    <w:r>
      <w:rPr>
        <w:rFonts w:ascii="Times New Roman" w:hAnsi="Times New Roman" w:eastAsia="Times New Roman" w:cs="Times New Roman"/>
        <w:b/>
        <w:i/>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pStyle w:val="18"/>
      <w:lvlText w:val="%1"/>
      <w:lvlJc w:val="left"/>
      <w:pPr>
        <w:ind w:left="1785" w:hanging="1425"/>
      </w:pPr>
      <w:rPr>
        <w:b/>
      </w:rPr>
    </w:lvl>
    <w:lvl w:ilvl="1" w:tentative="0">
      <w:start w:val="1"/>
      <w:numFmt w:val="decimal"/>
      <w:lvlText w:val="%1.%2"/>
      <w:lvlJc w:val="left"/>
      <w:pPr>
        <w:ind w:left="720" w:hanging="360"/>
      </w:pPr>
      <w:rPr>
        <w:b w:val="0"/>
        <w:i w:val="0"/>
      </w:rPr>
    </w:lvl>
    <w:lvl w:ilvl="2" w:tentative="0">
      <w:start w:val="1"/>
      <w:numFmt w:val="decimal"/>
      <w:pStyle w:val="72"/>
      <w:lvlText w:val="%1.%2.%3"/>
      <w:lvlJc w:val="left"/>
      <w:pPr>
        <w:ind w:left="1080" w:hanging="720"/>
      </w:pPr>
      <w:rPr>
        <w:b w:val="0"/>
        <w:i w:val="0"/>
      </w:rPr>
    </w:lvl>
    <w:lvl w:ilvl="3" w:tentative="0">
      <w:start w:val="1"/>
      <w:numFmt w:val="decimal"/>
      <w:lvlText w:val="%1.%2.%3.%4"/>
      <w:lvlJc w:val="left"/>
      <w:pPr>
        <w:ind w:left="1080" w:hanging="720"/>
      </w:pPr>
    </w:lvl>
    <w:lvl w:ilvl="4" w:tentative="0">
      <w:start w:val="1"/>
      <w:numFmt w:val="decimal"/>
      <w:lvlText w:val="%1.%2.%3.%4.%5"/>
      <w:lvlJc w:val="left"/>
      <w:pPr>
        <w:ind w:left="1440" w:hanging="1080"/>
      </w:pPr>
    </w:lvl>
    <w:lvl w:ilvl="5" w:tentative="0">
      <w:start w:val="1"/>
      <w:numFmt w:val="decimal"/>
      <w:lvlText w:val="%1.%2.%3.%4.%5.%6"/>
      <w:lvlJc w:val="left"/>
      <w:pPr>
        <w:ind w:left="1440" w:hanging="1080"/>
      </w:pPr>
    </w:lvl>
    <w:lvl w:ilvl="6" w:tentative="0">
      <w:start w:val="1"/>
      <w:numFmt w:val="decimal"/>
      <w:lvlText w:val="%1.%2.%3.%4.%5.%6.%7"/>
      <w:lvlJc w:val="left"/>
      <w:pPr>
        <w:ind w:left="1800" w:hanging="1440"/>
      </w:pPr>
    </w:lvl>
    <w:lvl w:ilvl="7" w:tentative="0">
      <w:start w:val="1"/>
      <w:numFmt w:val="decimal"/>
      <w:lvlText w:val="%1.%2.%3.%4.%5.%6.%7.%8"/>
      <w:lvlJc w:val="left"/>
      <w:pPr>
        <w:ind w:left="1800" w:hanging="1440"/>
      </w:pPr>
    </w:lvl>
    <w:lvl w:ilvl="8" w:tentative="0">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ompat>
    <w:compatSetting w:name="compatibilityMode" w:uri="http://schemas.microsoft.com/office/word" w:val="15"/>
  </w:compat>
  <w:rsids>
    <w:rsidRoot w:val="00000000"/>
    <w:rsid w:val="3D4641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qFormat="1"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Arial" w:cs="Tahoma"/>
      <w:szCs w:val="24"/>
      <w:lang w:val="pt-BR"/>
    </w:rPr>
  </w:style>
  <w:style w:type="paragraph" w:styleId="2">
    <w:name w:val="heading 1"/>
    <w:basedOn w:val="1"/>
    <w:next w:val="1"/>
    <w:link w:val="43"/>
    <w:qFormat/>
    <w:uiPriority w:val="0"/>
    <w:pPr>
      <w:keepNext/>
      <w:keepLines/>
      <w:spacing w:before="240"/>
      <w:outlineLvl w:val="0"/>
    </w:pPr>
    <w:rPr>
      <w:rFonts w:ascii="Cambria" w:hAnsi="Cambria" w:cs="Times New Roman"/>
      <w:color w:val="365F91"/>
      <w:sz w:val="32"/>
      <w:szCs w:val="32"/>
    </w:rPr>
  </w:style>
  <w:style w:type="paragraph" w:styleId="3">
    <w:name w:val="heading 2"/>
    <w:basedOn w:val="1"/>
    <w:next w:val="1"/>
    <w:link w:val="29"/>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qFormat/>
    <w:uiPriority w:val="0"/>
    <w:pPr>
      <w:keepNext/>
      <w:keepLines/>
      <w:spacing w:before="280" w:after="80"/>
      <w:outlineLvl w:val="2"/>
    </w:pPr>
    <w:rPr>
      <w:b/>
      <w:sz w:val="28"/>
      <w:szCs w:val="28"/>
    </w:rPr>
  </w:style>
  <w:style w:type="paragraph" w:styleId="5">
    <w:name w:val="heading 4"/>
    <w:basedOn w:val="1"/>
    <w:next w:val="1"/>
    <w:qFormat/>
    <w:uiPriority w:val="0"/>
    <w:pPr>
      <w:keepNext/>
      <w:keepLines/>
      <w:spacing w:before="240" w:after="40"/>
      <w:outlineLvl w:val="3"/>
    </w:pPr>
    <w:rPr>
      <w:b/>
      <w:sz w:val="24"/>
    </w:rPr>
  </w:style>
  <w:style w:type="paragraph" w:styleId="6">
    <w:name w:val="heading 5"/>
    <w:basedOn w:val="1"/>
    <w:next w:val="1"/>
    <w:qFormat/>
    <w:uiPriority w:val="0"/>
    <w:pPr>
      <w:keepNext/>
      <w:keepLines/>
      <w:spacing w:before="220" w:after="40"/>
      <w:outlineLvl w:val="4"/>
    </w:pPr>
    <w:rPr>
      <w:b/>
      <w:sz w:val="22"/>
      <w:szCs w:val="22"/>
    </w:rPr>
  </w:style>
  <w:style w:type="paragraph" w:styleId="7">
    <w:name w:val="heading 6"/>
    <w:basedOn w:val="1"/>
    <w:next w:val="1"/>
    <w:qFormat/>
    <w:uiPriority w:val="0"/>
    <w:pPr>
      <w:keepNext/>
      <w:keepLines/>
      <w:spacing w:before="200" w:after="40"/>
      <w:outlineLvl w:val="5"/>
    </w:pPr>
    <w:rPr>
      <w:b/>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28"/>
    <w:qFormat/>
    <w:uiPriority w:val="0"/>
    <w:rPr>
      <w:rFonts w:ascii="Tahoma" w:hAnsi="Tahoma"/>
      <w:sz w:val="16"/>
      <w:szCs w:val="16"/>
    </w:rPr>
  </w:style>
  <w:style w:type="character" w:styleId="11">
    <w:name w:val="annotation reference"/>
    <w:basedOn w:val="8"/>
    <w:unhideWhenUsed/>
    <w:qFormat/>
    <w:uiPriority w:val="0"/>
    <w:rPr>
      <w:sz w:val="18"/>
      <w:szCs w:val="18"/>
    </w:rPr>
  </w:style>
  <w:style w:type="paragraph" w:styleId="12">
    <w:name w:val="annotation text"/>
    <w:basedOn w:val="1"/>
    <w:link w:val="49"/>
    <w:unhideWhenUsed/>
    <w:qFormat/>
    <w:uiPriority w:val="0"/>
    <w:rPr>
      <w:sz w:val="24"/>
    </w:rPr>
  </w:style>
  <w:style w:type="paragraph" w:styleId="13">
    <w:name w:val="footer"/>
    <w:basedOn w:val="1"/>
    <w:link w:val="38"/>
    <w:uiPriority w:val="99"/>
    <w:pPr>
      <w:tabs>
        <w:tab w:val="center" w:pos="4252"/>
        <w:tab w:val="right" w:pos="8504"/>
      </w:tabs>
    </w:pPr>
  </w:style>
  <w:style w:type="character" w:styleId="14">
    <w:name w:val="footnote reference"/>
    <w:semiHidden/>
    <w:unhideWhenUsed/>
    <w:uiPriority w:val="0"/>
    <w:rPr>
      <w:vertAlign w:val="superscript"/>
    </w:rPr>
  </w:style>
  <w:style w:type="paragraph" w:styleId="15">
    <w:name w:val="footnote text"/>
    <w:basedOn w:val="1"/>
    <w:link w:val="51"/>
    <w:unhideWhenUsed/>
    <w:qFormat/>
    <w:uiPriority w:val="0"/>
    <w:rPr>
      <w:szCs w:val="20"/>
    </w:rPr>
  </w:style>
  <w:style w:type="paragraph" w:styleId="16">
    <w:name w:val="header"/>
    <w:basedOn w:val="1"/>
    <w:link w:val="37"/>
    <w:uiPriority w:val="99"/>
    <w:pPr>
      <w:tabs>
        <w:tab w:val="center" w:pos="4252"/>
        <w:tab w:val="right" w:pos="8504"/>
      </w:tabs>
    </w:pPr>
  </w:style>
  <w:style w:type="character" w:styleId="17">
    <w:name w:val="Hyperlink"/>
    <w:qFormat/>
    <w:uiPriority w:val="99"/>
    <w:rPr>
      <w:color w:val="000080"/>
      <w:u w:val="single"/>
    </w:rPr>
  </w:style>
  <w:style w:type="paragraph" w:styleId="18">
    <w:name w:val="List Bullet 5"/>
    <w:basedOn w:val="1"/>
    <w:qFormat/>
    <w:uiPriority w:val="0"/>
    <w:pPr>
      <w:numPr>
        <w:ilvl w:val="0"/>
        <w:numId w:val="1"/>
      </w:numPr>
      <w:contextualSpacing/>
    </w:pPr>
  </w:style>
  <w:style w:type="paragraph" w:styleId="19">
    <w:name w:val="Normal (Web)"/>
    <w:basedOn w:val="1"/>
    <w:uiPriority w:val="99"/>
    <w:pPr>
      <w:spacing w:before="100" w:beforeAutospacing="1" w:after="100" w:afterAutospacing="1"/>
    </w:pPr>
    <w:rPr>
      <w:rFonts w:ascii="Times New Roman" w:hAnsi="Times New Roman" w:cs="Times New Roman"/>
    </w:rPr>
  </w:style>
  <w:style w:type="character" w:styleId="20">
    <w:name w:val="Strong"/>
    <w:qFormat/>
    <w:uiPriority w:val="22"/>
    <w:rPr>
      <w:b/>
      <w:bCs/>
    </w:rPr>
  </w:style>
  <w:style w:type="paragraph" w:styleId="21">
    <w:name w:val="Subtitle"/>
    <w:basedOn w:val="1"/>
    <w:next w:val="1"/>
    <w:uiPriority w:val="0"/>
    <w:pPr>
      <w:keepNext/>
      <w:keepLines/>
      <w:spacing w:before="360" w:after="80"/>
    </w:pPr>
    <w:rPr>
      <w:rFonts w:ascii="Georgia" w:hAnsi="Georgia" w:eastAsia="Georgia" w:cs="Georgia"/>
      <w:i/>
      <w:color w:val="666666"/>
      <w:sz w:val="48"/>
      <w:szCs w:val="48"/>
    </w:rPr>
  </w:style>
  <w:style w:type="table" w:styleId="22">
    <w:name w:val="Table Grid"/>
    <w:basedOn w:val="9"/>
    <w:qFormat/>
    <w:uiPriority w:val="5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
    <w:name w:val="Title"/>
    <w:basedOn w:val="1"/>
    <w:next w:val="1"/>
    <w:qFormat/>
    <w:uiPriority w:val="0"/>
    <w:pPr>
      <w:keepNext/>
      <w:keepLines/>
      <w:spacing w:before="480" w:after="120"/>
    </w:pPr>
    <w:rPr>
      <w:b/>
      <w:sz w:val="72"/>
      <w:szCs w:val="72"/>
    </w:rPr>
  </w:style>
  <w:style w:type="table" w:customStyle="1" w:styleId="24">
    <w:name w:val="Table Normal1"/>
    <w:uiPriority w:val="0"/>
  </w:style>
  <w:style w:type="table" w:customStyle="1" w:styleId="25">
    <w:name w:val="Table Normal2"/>
    <w:uiPriority w:val="0"/>
    <w:tblPr>
      <w:tblCellMar>
        <w:top w:w="0" w:type="dxa"/>
        <w:left w:w="0" w:type="dxa"/>
        <w:bottom w:w="0" w:type="dxa"/>
        <w:right w:w="0" w:type="dxa"/>
      </w:tblCellMar>
    </w:tblPr>
  </w:style>
  <w:style w:type="table" w:customStyle="1" w:styleId="26">
    <w:name w:val="Table Normal3"/>
    <w:uiPriority w:val="0"/>
    <w:tblPr>
      <w:tblCellMar>
        <w:top w:w="0" w:type="dxa"/>
        <w:left w:w="0" w:type="dxa"/>
        <w:bottom w:w="0" w:type="dxa"/>
        <w:right w:w="0" w:type="dxa"/>
      </w:tblCellMar>
    </w:tblPr>
  </w:style>
  <w:style w:type="paragraph" w:styleId="27">
    <w:name w:val="List Paragraph"/>
    <w:basedOn w:val="1"/>
    <w:qFormat/>
    <w:uiPriority w:val="34"/>
    <w:pPr>
      <w:ind w:left="720"/>
      <w:contextualSpacing/>
    </w:pPr>
  </w:style>
  <w:style w:type="character" w:customStyle="1" w:styleId="28">
    <w:name w:val="Texto de balão Char"/>
    <w:link w:val="10"/>
    <w:qFormat/>
    <w:uiPriority w:val="0"/>
    <w:rPr>
      <w:rFonts w:ascii="Tahoma" w:hAnsi="Tahoma" w:cs="Tahoma"/>
      <w:sz w:val="16"/>
      <w:szCs w:val="16"/>
    </w:rPr>
  </w:style>
  <w:style w:type="character" w:customStyle="1" w:styleId="29">
    <w:name w:val="Título 2 Char"/>
    <w:link w:val="3"/>
    <w:uiPriority w:val="0"/>
    <w:rPr>
      <w:b/>
      <w:color w:val="000000"/>
      <w:sz w:val="24"/>
    </w:rPr>
  </w:style>
  <w:style w:type="paragraph" w:customStyle="1" w:styleId="30">
    <w:name w:val="Nível 2"/>
    <w:basedOn w:val="1"/>
    <w:next w:val="1"/>
    <w:uiPriority w:val="0"/>
    <w:pPr>
      <w:spacing w:after="120"/>
      <w:jc w:val="both"/>
    </w:pPr>
    <w:rPr>
      <w:rFonts w:cs="Times New Roman"/>
      <w:b/>
      <w:szCs w:val="20"/>
    </w:rPr>
  </w:style>
  <w:style w:type="character" w:customStyle="1" w:styleId="31">
    <w:name w:val="normal__char1"/>
    <w:qFormat/>
    <w:uiPriority w:val="0"/>
    <w:rPr>
      <w:rFonts w:hint="default" w:ascii="Arial" w:hAnsi="Arial" w:cs="Arial"/>
      <w:sz w:val="24"/>
      <w:szCs w:val="24"/>
      <w:u w:val="none"/>
    </w:rPr>
  </w:style>
  <w:style w:type="character" w:customStyle="1" w:styleId="32">
    <w:name w:val="apple-style-span"/>
    <w:basedOn w:val="8"/>
    <w:qFormat/>
    <w:uiPriority w:val="0"/>
  </w:style>
  <w:style w:type="paragraph" w:styleId="33">
    <w:name w:val="Quote"/>
    <w:basedOn w:val="1"/>
    <w:next w:val="1"/>
    <w:link w:val="34"/>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lang w:eastAsia="en-US"/>
    </w:rPr>
  </w:style>
  <w:style w:type="character" w:customStyle="1" w:styleId="34">
    <w:name w:val="Citação Char"/>
    <w:link w:val="33"/>
    <w:qFormat/>
    <w:uiPriority w:val="0"/>
    <w:rPr>
      <w:rFonts w:ascii="Ecofont_Spranq_eco_Sans" w:hAnsi="Ecofont_Spranq_eco_Sans" w:eastAsia="Calibri" w:cs="Tahoma"/>
      <w:i/>
      <w:iCs/>
      <w:color w:val="000000"/>
      <w:szCs w:val="24"/>
      <w:shd w:val="clear" w:color="auto" w:fill="FFFFCC"/>
      <w:lang w:eastAsia="en-US"/>
    </w:rPr>
  </w:style>
  <w:style w:type="paragraph" w:customStyle="1" w:styleId="35">
    <w:name w:val="citação 2"/>
    <w:basedOn w:val="33"/>
    <w:link w:val="36"/>
    <w:qFormat/>
    <w:uiPriority w:val="0"/>
    <w:rPr>
      <w:szCs w:val="20"/>
    </w:rPr>
  </w:style>
  <w:style w:type="character" w:customStyle="1" w:styleId="36">
    <w:name w:val="citação 2 Char"/>
    <w:link w:val="35"/>
    <w:qFormat/>
    <w:uiPriority w:val="0"/>
    <w:rPr>
      <w:rFonts w:ascii="Ecofont_Spranq_eco_Sans" w:hAnsi="Ecofont_Spranq_eco_Sans" w:eastAsia="Calibri" w:cs="Tahoma"/>
      <w:i/>
      <w:iCs/>
      <w:color w:val="000000"/>
      <w:szCs w:val="24"/>
      <w:shd w:val="clear" w:color="auto" w:fill="FFFFCC"/>
      <w:lang w:eastAsia="en-US"/>
    </w:rPr>
  </w:style>
  <w:style w:type="character" w:customStyle="1" w:styleId="37">
    <w:name w:val="Cabeçalho Char"/>
    <w:link w:val="16"/>
    <w:qFormat/>
    <w:uiPriority w:val="99"/>
    <w:rPr>
      <w:rFonts w:ascii="Ecofont_Spranq_eco_Sans" w:hAnsi="Ecofont_Spranq_eco_Sans" w:cs="Tahoma"/>
      <w:sz w:val="24"/>
      <w:szCs w:val="24"/>
    </w:rPr>
  </w:style>
  <w:style w:type="character" w:customStyle="1" w:styleId="38">
    <w:name w:val="Rodapé Char"/>
    <w:link w:val="13"/>
    <w:qFormat/>
    <w:uiPriority w:val="99"/>
    <w:rPr>
      <w:rFonts w:ascii="Ecofont_Spranq_eco_Sans" w:hAnsi="Ecofont_Spranq_eco_Sans" w:cs="Tahoma"/>
      <w:sz w:val="24"/>
      <w:szCs w:val="24"/>
    </w:rPr>
  </w:style>
  <w:style w:type="paragraph" w:customStyle="1" w:styleId="39">
    <w:name w:val="em_0020ementa"/>
    <w:basedOn w:val="1"/>
    <w:qFormat/>
    <w:uiPriority w:val="0"/>
    <w:pPr>
      <w:ind w:left="4160"/>
      <w:jc w:val="both"/>
    </w:pPr>
    <w:rPr>
      <w:rFonts w:ascii="Times New Roman" w:hAnsi="Times New Roman" w:cs="Times New Roman"/>
      <w:sz w:val="28"/>
      <w:szCs w:val="28"/>
    </w:rPr>
  </w:style>
  <w:style w:type="character" w:customStyle="1" w:styleId="40">
    <w:name w:val="cp_0020corpodespacho__char1"/>
    <w:qFormat/>
    <w:uiPriority w:val="0"/>
    <w:rPr>
      <w:rFonts w:hint="default" w:ascii="Times New Roman" w:hAnsi="Times New Roman" w:cs="Times New Roman"/>
      <w:sz w:val="26"/>
      <w:szCs w:val="26"/>
      <w:u w:val="none"/>
    </w:rPr>
  </w:style>
  <w:style w:type="character" w:customStyle="1" w:styleId="41">
    <w:name w:val="em_0020ementa__char1"/>
    <w:qFormat/>
    <w:uiPriority w:val="0"/>
    <w:rPr>
      <w:rFonts w:hint="default" w:ascii="Times New Roman" w:hAnsi="Times New Roman" w:cs="Times New Roman"/>
      <w:sz w:val="28"/>
      <w:szCs w:val="28"/>
      <w:u w:val="none"/>
    </w:rPr>
  </w:style>
  <w:style w:type="paragraph" w:customStyle="1" w:styleId="42">
    <w:name w:val="Nivel1"/>
    <w:basedOn w:val="2"/>
    <w:next w:val="1"/>
    <w:link w:val="44"/>
    <w:qFormat/>
    <w:uiPriority w:val="0"/>
    <w:pPr>
      <w:spacing w:before="480" w:after="120" w:line="276" w:lineRule="auto"/>
      <w:jc w:val="both"/>
    </w:pPr>
    <w:rPr>
      <w:rFonts w:ascii="Arial" w:hAnsi="Arial" w:cs="Arial"/>
      <w:b/>
      <w:color w:val="000000"/>
      <w:sz w:val="20"/>
      <w:szCs w:val="20"/>
    </w:rPr>
  </w:style>
  <w:style w:type="character" w:customStyle="1" w:styleId="43">
    <w:name w:val="Título 1 Char"/>
    <w:link w:val="2"/>
    <w:qFormat/>
    <w:uiPriority w:val="0"/>
    <w:rPr>
      <w:rFonts w:ascii="Cambria" w:hAnsi="Cambria" w:eastAsia="Times New Roman" w:cs="Times New Roman"/>
      <w:color w:val="365F91"/>
      <w:sz w:val="32"/>
      <w:szCs w:val="32"/>
    </w:rPr>
  </w:style>
  <w:style w:type="character" w:customStyle="1" w:styleId="44">
    <w:name w:val="Nivel1 Char"/>
    <w:link w:val="42"/>
    <w:qFormat/>
    <w:uiPriority w:val="0"/>
    <w:rPr>
      <w:rFonts w:ascii="Arial" w:hAnsi="Arial" w:cs="Arial"/>
      <w:b/>
      <w:color w:val="000000"/>
    </w:rPr>
  </w:style>
  <w:style w:type="paragraph" w:customStyle="1" w:styleId="45">
    <w:name w:val="Nivel 01"/>
    <w:basedOn w:val="2"/>
    <w:next w:val="1"/>
    <w:link w:val="46"/>
    <w:qFormat/>
    <w:uiPriority w:val="0"/>
    <w:pPr>
      <w:spacing w:before="480" w:after="120" w:line="276" w:lineRule="auto"/>
      <w:ind w:left="360" w:right="-15" w:hanging="360"/>
      <w:jc w:val="both"/>
    </w:pPr>
    <w:rPr>
      <w:rFonts w:ascii="Arial" w:hAnsi="Arial"/>
      <w:b/>
      <w:bCs/>
      <w:color w:val="000000"/>
    </w:rPr>
  </w:style>
  <w:style w:type="character" w:customStyle="1" w:styleId="46">
    <w:name w:val="Nivel 01 Char"/>
    <w:link w:val="45"/>
    <w:uiPriority w:val="0"/>
    <w:rPr>
      <w:rFonts w:ascii="Arial" w:hAnsi="Arial" w:eastAsia="Times New Roman" w:cs="Times New Roman"/>
      <w:b/>
      <w:bCs/>
      <w:color w:val="000000"/>
      <w:sz w:val="32"/>
      <w:szCs w:val="32"/>
    </w:rPr>
  </w:style>
  <w:style w:type="paragraph" w:customStyle="1" w:styleId="47">
    <w:name w:val="xl49"/>
    <w:basedOn w:val="1"/>
    <w:uiPriority w:val="0"/>
    <w:pPr>
      <w:spacing w:before="100" w:after="100"/>
      <w:jc w:val="center"/>
    </w:pPr>
    <w:rPr>
      <w:rFonts w:cs="Times New Roman"/>
      <w:b/>
      <w:sz w:val="24"/>
      <w:szCs w:val="20"/>
    </w:rPr>
  </w:style>
  <w:style w:type="character" w:customStyle="1" w:styleId="48">
    <w:name w:val="apple-converted-space"/>
    <w:basedOn w:val="8"/>
    <w:uiPriority w:val="0"/>
  </w:style>
  <w:style w:type="character" w:customStyle="1" w:styleId="49">
    <w:name w:val="Texto de comentário Char"/>
    <w:link w:val="12"/>
    <w:qFormat/>
    <w:uiPriority w:val="0"/>
    <w:rPr>
      <w:rFonts w:ascii="Arial" w:hAnsi="Arial" w:cs="Tahoma"/>
      <w:sz w:val="24"/>
      <w:szCs w:val="24"/>
    </w:rPr>
  </w:style>
  <w:style w:type="paragraph" w:customStyle="1" w:styleId="50">
    <w:name w:val="Estilo1"/>
    <w:basedOn w:val="1"/>
    <w:uiPriority w:val="0"/>
    <w:pPr>
      <w:keepLines/>
      <w:overflowPunct w:val="0"/>
      <w:autoSpaceDE w:val="0"/>
      <w:autoSpaceDN w:val="0"/>
      <w:adjustRightInd w:val="0"/>
      <w:spacing w:before="360" w:after="120"/>
      <w:jc w:val="center"/>
      <w:textAlignment w:val="baseline"/>
    </w:pPr>
    <w:rPr>
      <w:rFonts w:cs="Times New Roman"/>
      <w:b/>
      <w:caps/>
      <w:sz w:val="24"/>
      <w:szCs w:val="20"/>
    </w:rPr>
  </w:style>
  <w:style w:type="character" w:customStyle="1" w:styleId="51">
    <w:name w:val="Texto de nota de rodapé Char"/>
    <w:link w:val="15"/>
    <w:qFormat/>
    <w:uiPriority w:val="0"/>
    <w:rPr>
      <w:rFonts w:ascii="Arial" w:hAnsi="Arial" w:cs="Tahoma"/>
    </w:rPr>
  </w:style>
  <w:style w:type="paragraph" w:customStyle="1" w:styleId="52">
    <w:name w:val="PADRÃO"/>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53">
    <w:name w:val="x_western"/>
    <w:basedOn w:val="1"/>
    <w:qFormat/>
    <w:uiPriority w:val="0"/>
    <w:pPr>
      <w:spacing w:before="100" w:beforeAutospacing="1" w:after="100" w:afterAutospacing="1"/>
    </w:pPr>
    <w:rPr>
      <w:rFonts w:ascii="Times New Roman" w:hAnsi="Times New Roman" w:cs="Times New Roman"/>
      <w:sz w:val="24"/>
    </w:rPr>
  </w:style>
  <w:style w:type="paragraph" w:customStyle="1" w:styleId="54">
    <w:name w:val="Nivel 2"/>
    <w:basedOn w:val="1"/>
    <w:link w:val="59"/>
    <w:qFormat/>
    <w:uiPriority w:val="0"/>
    <w:pPr>
      <w:spacing w:before="120" w:after="120" w:line="276" w:lineRule="auto"/>
      <w:ind w:left="4969" w:hanging="432"/>
      <w:jc w:val="both"/>
    </w:pPr>
    <w:rPr>
      <w:rFonts w:cs="Arial" w:eastAsiaTheme="minorEastAsia"/>
      <w:color w:val="000000"/>
      <w:szCs w:val="20"/>
    </w:rPr>
  </w:style>
  <w:style w:type="paragraph" w:customStyle="1" w:styleId="55">
    <w:name w:val="Nivel 3"/>
    <w:basedOn w:val="1"/>
    <w:link w:val="58"/>
    <w:qFormat/>
    <w:uiPriority w:val="0"/>
    <w:pPr>
      <w:spacing w:before="120" w:after="120" w:line="276" w:lineRule="auto"/>
      <w:ind w:left="3198" w:hanging="504"/>
      <w:jc w:val="both"/>
    </w:pPr>
    <w:rPr>
      <w:rFonts w:cs="Arial" w:eastAsiaTheme="minorEastAsia"/>
      <w:color w:val="000000"/>
      <w:szCs w:val="20"/>
    </w:rPr>
  </w:style>
  <w:style w:type="paragraph" w:customStyle="1" w:styleId="56">
    <w:name w:val="Nivel 4"/>
    <w:basedOn w:val="55"/>
    <w:link w:val="60"/>
    <w:qFormat/>
    <w:uiPriority w:val="0"/>
    <w:pPr>
      <w:tabs>
        <w:tab w:val="left" w:pos="1492"/>
      </w:tabs>
      <w:ind w:left="851" w:firstLine="0"/>
    </w:pPr>
    <w:rPr>
      <w:color w:val="auto"/>
    </w:rPr>
  </w:style>
  <w:style w:type="paragraph" w:customStyle="1" w:styleId="57">
    <w:name w:val="Nivel 5"/>
    <w:basedOn w:val="56"/>
    <w:qFormat/>
    <w:uiPriority w:val="0"/>
    <w:pPr>
      <w:ind w:left="1276"/>
    </w:pPr>
  </w:style>
  <w:style w:type="character" w:customStyle="1" w:styleId="58">
    <w:name w:val="Nivel 3 Char"/>
    <w:basedOn w:val="8"/>
    <w:link w:val="55"/>
    <w:qFormat/>
    <w:uiPriority w:val="0"/>
    <w:rPr>
      <w:rFonts w:ascii="Arial" w:hAnsi="Arial" w:cs="Arial" w:eastAsiaTheme="minorEastAsia"/>
      <w:color w:val="000000"/>
    </w:rPr>
  </w:style>
  <w:style w:type="character" w:customStyle="1" w:styleId="59">
    <w:name w:val="Nivel 2 Char"/>
    <w:basedOn w:val="8"/>
    <w:link w:val="54"/>
    <w:locked/>
    <w:uiPriority w:val="0"/>
    <w:rPr>
      <w:rFonts w:ascii="Arial" w:hAnsi="Arial" w:cs="Arial" w:eastAsiaTheme="minorEastAsia"/>
      <w:color w:val="000000"/>
    </w:rPr>
  </w:style>
  <w:style w:type="character" w:customStyle="1" w:styleId="60">
    <w:name w:val="Nivel 4 Char"/>
    <w:basedOn w:val="8"/>
    <w:link w:val="56"/>
    <w:qFormat/>
    <w:uiPriority w:val="0"/>
    <w:rPr>
      <w:rFonts w:ascii="Arial" w:hAnsi="Arial" w:cs="Arial" w:eastAsiaTheme="minorEastAsia"/>
    </w:rPr>
  </w:style>
  <w:style w:type="table" w:customStyle="1" w:styleId="61">
    <w:name w:val="_Style 61"/>
    <w:basedOn w:val="26"/>
    <w:uiPriority w:val="0"/>
    <w:tblPr>
      <w:tblCellMar>
        <w:left w:w="115" w:type="dxa"/>
        <w:right w:w="115" w:type="dxa"/>
      </w:tblCellMar>
    </w:tblPr>
  </w:style>
  <w:style w:type="table" w:customStyle="1" w:styleId="62">
    <w:name w:val="_Style 69"/>
    <w:basedOn w:val="24"/>
    <w:uiPriority w:val="0"/>
    <w:tblPr>
      <w:tblCellMar>
        <w:left w:w="115" w:type="dxa"/>
        <w:right w:w="115" w:type="dxa"/>
      </w:tblCellMar>
    </w:tblPr>
  </w:style>
  <w:style w:type="character" w:customStyle="1" w:styleId="63">
    <w:name w:val="normaltextrun"/>
    <w:basedOn w:val="8"/>
    <w:uiPriority w:val="0"/>
  </w:style>
  <w:style w:type="character" w:customStyle="1" w:styleId="64">
    <w:name w:val="eop"/>
    <w:basedOn w:val="8"/>
    <w:uiPriority w:val="0"/>
  </w:style>
  <w:style w:type="paragraph" w:customStyle="1" w:styleId="65">
    <w:name w:val="Nível 2 -Red"/>
    <w:basedOn w:val="54"/>
    <w:link w:val="66"/>
    <w:qFormat/>
    <w:uiPriority w:val="0"/>
    <w:pPr>
      <w:autoSpaceDE w:val="0"/>
      <w:autoSpaceDN w:val="0"/>
      <w:adjustRightInd w:val="0"/>
      <w:ind w:left="4969" w:hanging="432"/>
    </w:pPr>
    <w:rPr>
      <w:rFonts w:eastAsia="Times New Roman"/>
      <w:i/>
      <w:iCs/>
      <w:color w:val="FF0000"/>
    </w:rPr>
  </w:style>
  <w:style w:type="character" w:customStyle="1" w:styleId="66">
    <w:name w:val="Nível 2 -Red Char"/>
    <w:basedOn w:val="59"/>
    <w:link w:val="65"/>
    <w:uiPriority w:val="0"/>
    <w:rPr>
      <w:rFonts w:ascii="Arial" w:hAnsi="Arial" w:eastAsia="Times New Roman" w:cs="Arial"/>
      <w:i/>
      <w:iCs/>
      <w:color w:val="FF0000"/>
    </w:rPr>
  </w:style>
  <w:style w:type="paragraph" w:customStyle="1" w:styleId="67">
    <w:name w:val="Nível 3-R"/>
    <w:basedOn w:val="1"/>
    <w:link w:val="68"/>
    <w:qFormat/>
    <w:uiPriority w:val="0"/>
    <w:pPr>
      <w:spacing w:before="120" w:after="120" w:line="276" w:lineRule="auto"/>
      <w:ind w:left="284"/>
      <w:jc w:val="both"/>
    </w:pPr>
    <w:rPr>
      <w:rFonts w:cs="Arial" w:eastAsiaTheme="minorEastAsia"/>
      <w:i/>
      <w:iCs/>
      <w:color w:val="FF0000"/>
      <w:szCs w:val="20"/>
    </w:rPr>
  </w:style>
  <w:style w:type="character" w:customStyle="1" w:styleId="68">
    <w:name w:val="Nível 3-R Char"/>
    <w:basedOn w:val="8"/>
    <w:link w:val="67"/>
    <w:uiPriority w:val="0"/>
    <w:rPr>
      <w:rFonts w:eastAsiaTheme="minorEastAsia"/>
      <w:i/>
      <w:iCs/>
      <w:color w:val="FF0000"/>
    </w:rPr>
  </w:style>
  <w:style w:type="paragraph" w:customStyle="1" w:styleId="69">
    <w:name w:val="Nível 4"/>
    <w:basedOn w:val="1"/>
    <w:link w:val="74"/>
    <w:qFormat/>
    <w:uiPriority w:val="0"/>
    <w:pPr>
      <w:spacing w:before="120" w:after="120" w:line="276" w:lineRule="auto"/>
      <w:ind w:left="567"/>
      <w:jc w:val="both"/>
    </w:pPr>
    <w:rPr>
      <w:rFonts w:eastAsia="Times New Roman" w:cs="Arial"/>
      <w:szCs w:val="20"/>
    </w:rPr>
  </w:style>
  <w:style w:type="paragraph" w:customStyle="1" w:styleId="70">
    <w:name w:val="SubTitNN"/>
    <w:basedOn w:val="1"/>
    <w:link w:val="71"/>
    <w:qFormat/>
    <w:uiPriority w:val="0"/>
    <w:pPr>
      <w:spacing w:before="240" w:after="120" w:line="276" w:lineRule="auto"/>
      <w:jc w:val="both"/>
    </w:pPr>
    <w:rPr>
      <w:rFonts w:eastAsia="Times New Roman" w:cs="Arial"/>
      <w:b/>
      <w:bCs/>
      <w:iCs/>
      <w:szCs w:val="20"/>
    </w:rPr>
  </w:style>
  <w:style w:type="character" w:customStyle="1" w:styleId="71">
    <w:name w:val="SubTitNN Char"/>
    <w:basedOn w:val="8"/>
    <w:link w:val="70"/>
    <w:uiPriority w:val="0"/>
    <w:rPr>
      <w:rFonts w:eastAsia="Times New Roman"/>
      <w:b/>
      <w:bCs/>
      <w:iCs/>
    </w:rPr>
  </w:style>
  <w:style w:type="paragraph" w:customStyle="1" w:styleId="72">
    <w:name w:val="Nível 3"/>
    <w:basedOn w:val="67"/>
    <w:link w:val="73"/>
    <w:qFormat/>
    <w:uiPriority w:val="0"/>
    <w:pPr>
      <w:numPr>
        <w:ilvl w:val="2"/>
        <w:numId w:val="1"/>
      </w:numPr>
    </w:pPr>
    <w:rPr>
      <w:rFonts w:eastAsia="Times New Roman"/>
      <w:i w:val="0"/>
      <w:iCs w:val="0"/>
    </w:rPr>
  </w:style>
  <w:style w:type="character" w:customStyle="1" w:styleId="73">
    <w:name w:val="Nível 3 Char"/>
    <w:basedOn w:val="68"/>
    <w:link w:val="72"/>
    <w:uiPriority w:val="0"/>
    <w:rPr>
      <w:rFonts w:eastAsia="Times New Roman"/>
      <w:i w:val="0"/>
      <w:iCs w:val="0"/>
      <w:color w:val="FF0000"/>
    </w:rPr>
  </w:style>
  <w:style w:type="character" w:customStyle="1" w:styleId="74">
    <w:name w:val="Nível 4 Char"/>
    <w:basedOn w:val="73"/>
    <w:link w:val="69"/>
    <w:uiPriority w:val="0"/>
    <w:rPr>
      <w:rFonts w:eastAsia="Times New Roman"/>
      <w:color w:val="FF0000"/>
    </w:rPr>
  </w:style>
  <w:style w:type="table" w:customStyle="1" w:styleId="75">
    <w:name w:val="_Style 83"/>
    <w:basedOn w:val="24"/>
    <w:uiPriority w:val="0"/>
    <w:tblPr>
      <w:tblCellMar>
        <w:top w:w="0" w:type="dxa"/>
        <w:left w:w="10" w:type="dxa"/>
        <w:bottom w:w="0" w:type="dxa"/>
        <w:right w:w="10" w:type="dxa"/>
      </w:tblCellMar>
    </w:tblPr>
  </w:style>
  <w:style w:type="table" w:customStyle="1" w:styleId="76">
    <w:name w:val="_Style 84"/>
    <w:basedOn w:val="24"/>
    <w:uiPriority w:val="0"/>
    <w:tblPr>
      <w:tblCellMar>
        <w:top w:w="0" w:type="dxa"/>
        <w:left w:w="10" w:type="dxa"/>
        <w:bottom w:w="0" w:type="dxa"/>
        <w:right w:w="10" w:type="dxa"/>
      </w:tblCellMar>
    </w:tblPr>
  </w:style>
  <w:style w:type="table" w:customStyle="1" w:styleId="77">
    <w:name w:val="_Style 85"/>
    <w:basedOn w:val="24"/>
    <w:uiPriority w:val="0"/>
    <w:tblPr>
      <w:tblCellMar>
        <w:top w:w="0" w:type="dxa"/>
        <w:left w:w="10" w:type="dxa"/>
        <w:bottom w:w="0" w:type="dxa"/>
        <w:right w:w="1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qjRmfAhRfcC9tp4DDp+9HHjWtg==">CgMxLjAyCGguZ2pkZ3hzMg5oLnB3MDM4NWt4a293cDIJaC4zMGowemxsMg5oLjcxcms1OWp2NmdjNjIOaC5oMXhvOHFqOTYyc3IyDGgueHBvdGhpdnczNDIKaWQuMzBqMHpsbDIKaWQuMWZvYjl0ZTIKaWQuM3pueXNoNzIOaC4yOXZ4bHFmczZzYXQyDmgudnhkNDhxMjgwcThyMgloLjQ0c2luaW8yCmlkLjJldDkycDAyCWlkLnR5amN3dDIKaWQuM2R5NnZrbTIKaWQuMXQzaDVzZjIKaWQuNGQzNG9nODIOaC54YXRpNjNuMmV4MjkyCmlkLjJzOGV5bzEyDmguaWUzMGZqdHB1ZWR1MgppZC4xN2RwOHZ1MgppZC4zcmRjcmpuOAByITF0dVFiZTA3c2Fhd1pCUXhXZ2k2c095cXoweHoxUjBxb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Office_12.2.0.13215_F1E327BC-269C-435d-A152-05C5408002CA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2023-05-30T13:47:00Z</dcterms:created>
  <dc:creator>Adriano</dc:creator>
  <cp:lastModifiedBy>CLCSO</cp:lastModifiedBy>
  <dcterms:modified xsi:type="dcterms:W3CDTF">2023-09-22T13:12:09Z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3A87445321B2475BB0E32D497B35B991</vt:lpwstr>
  </property>
</Properties>
</file>